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shd w:val="pct15" w:color="auto" w:fill="auto"/>
        </w:rPr>
      </w:pPr>
      <w:r>
        <w:rPr>
          <w:rFonts w:hint="eastAsia" w:ascii="ＭＳ 明朝" w:hAnsi="ＭＳ 明朝"/>
          <w:shd w:val="pct15" w:color="auto" w:fill="auto"/>
        </w:rPr>
        <w:t>Q</w:t>
      </w:r>
      <w:r>
        <w:rPr>
          <w:rFonts w:hint="eastAsia" w:ascii="ＭＳ 明朝" w:hAnsi="ＭＳ 明朝"/>
          <w:shd w:val="pct15" w:color="auto" w:fill="auto"/>
        </w:rPr>
        <w:t>子ども条例は</w:t>
      </w:r>
    </w:p>
    <w:p>
      <w:pPr>
        <w:pStyle w:val="0"/>
        <w:rPr>
          <w:rFonts w:hint="default" w:ascii="ＭＳ 明朝" w:hAnsi="ＭＳ 明朝"/>
          <w:shd w:val="pct15" w:color="auto" w:fill="auto"/>
        </w:rPr>
      </w:pPr>
      <w:r>
        <w:rPr>
          <w:rFonts w:hint="eastAsia" w:ascii="ＭＳ 明朝" w:hAnsi="ＭＳ 明朝"/>
          <w:shd w:val="pct15" w:color="auto" w:fill="auto"/>
        </w:rPr>
        <w:t>A</w:t>
      </w:r>
      <w:r>
        <w:rPr>
          <w:rFonts w:hint="eastAsia" w:ascii="ＭＳ 明朝" w:hAnsi="ＭＳ 明朝"/>
          <w:shd w:val="pct15" w:color="auto" w:fill="auto"/>
        </w:rPr>
        <w:t>制定する</w:t>
      </w:r>
    </w:p>
    <w:p>
      <w:pPr>
        <w:pStyle w:val="0"/>
        <w:spacing w:line="300" w:lineRule="auto"/>
        <w:rPr>
          <w:rFonts w:hint="eastAsia" w:ascii="ＭＳ 明朝" w:hAnsi="ＭＳ 明朝"/>
        </w:rPr>
      </w:pPr>
      <w:r>
        <w:rPr>
          <w:rFonts w:hint="eastAsia" w:ascii="ＭＳ 明朝" w:hAnsi="ＭＳ 明朝"/>
        </w:rPr>
        <w:t xml:space="preserve">Q </w:t>
      </w:r>
      <w:r>
        <w:rPr>
          <w:rFonts w:hint="eastAsia" w:ascii="ＭＳ 明朝" w:hAnsi="ＭＳ 明朝"/>
        </w:rPr>
        <w:t>こどもまんなか応援サポーター宣言をしないか。</w:t>
      </w:r>
    </w:p>
    <w:p>
      <w:pPr>
        <w:pStyle w:val="0"/>
        <w:spacing w:line="300" w:lineRule="auto"/>
        <w:rPr>
          <w:rFonts w:hint="eastAsia" w:ascii="ＭＳ 明朝" w:hAnsi="ＭＳ 明朝"/>
        </w:rPr>
      </w:pPr>
      <w:r>
        <w:rPr>
          <w:rFonts w:hint="eastAsia" w:ascii="ＭＳ 明朝" w:hAnsi="ＭＳ 明朝"/>
        </w:rPr>
        <w:t xml:space="preserve">A </w:t>
      </w:r>
      <w:r>
        <w:rPr>
          <w:rFonts w:hint="eastAsia" w:ascii="ＭＳ 明朝" w:hAnsi="ＭＳ 明朝"/>
          <w:b w:val="1"/>
        </w:rPr>
        <w:t>子ども部長</w:t>
      </w:r>
      <w:r>
        <w:rPr>
          <w:rFonts w:hint="eastAsia" w:ascii="ＭＳ 明朝" w:hAnsi="ＭＳ 明朝"/>
        </w:rPr>
        <w:t>　子ども条例の制定を行う中で検討していく。</w:t>
      </w:r>
    </w:p>
    <w:p>
      <w:pPr>
        <w:pStyle w:val="0"/>
        <w:spacing w:line="300" w:lineRule="auto"/>
        <w:rPr>
          <w:rFonts w:hint="eastAsia" w:ascii="ＭＳ 明朝" w:hAnsi="ＭＳ 明朝"/>
        </w:rPr>
      </w:pPr>
      <w:r>
        <w:rPr>
          <w:rFonts w:hint="eastAsia" w:ascii="ＭＳ 明朝" w:hAnsi="ＭＳ 明朝"/>
        </w:rPr>
        <w:t xml:space="preserve">Q </w:t>
      </w:r>
      <w:r>
        <w:rPr>
          <w:rFonts w:hint="eastAsia" w:ascii="ＭＳ 明朝" w:hAnsi="ＭＳ 明朝"/>
        </w:rPr>
        <w:t>子ども自身が「私たちは守られているんだ」ということを自覚することが大事である。また、子どもの権利に関して、大人に教育する機会をどのように提供するのか。</w:t>
      </w:r>
    </w:p>
    <w:p>
      <w:pPr>
        <w:pStyle w:val="0"/>
        <w:spacing w:line="300" w:lineRule="auto"/>
        <w:rPr>
          <w:rFonts w:hint="eastAsia" w:ascii="ＭＳ 明朝" w:hAnsi="ＭＳ 明朝"/>
        </w:rPr>
      </w:pPr>
      <w:r>
        <w:rPr>
          <w:rFonts w:hint="eastAsia" w:ascii="ＭＳ 明朝" w:hAnsi="ＭＳ 明朝"/>
        </w:rPr>
        <w:t xml:space="preserve">A </w:t>
      </w:r>
      <w:r>
        <w:rPr>
          <w:rFonts w:hint="eastAsia" w:ascii="ＭＳ 明朝" w:hAnsi="ＭＳ 明朝"/>
        </w:rPr>
        <w:t>子ども条例制定の過程の中で、子どもたちが中心となる会議の開催や、市民が子どもの権利や子ども条例について学ぶ機会を設けていきたいと考える。</w:t>
      </w:r>
    </w:p>
    <w:p>
      <w:pPr>
        <w:pStyle w:val="0"/>
        <w:spacing w:line="300" w:lineRule="auto"/>
        <w:rPr>
          <w:rFonts w:hint="eastAsia" w:ascii="ＭＳ 明朝" w:hAnsi="ＭＳ 明朝"/>
        </w:rPr>
      </w:pPr>
      <w:r>
        <w:rPr>
          <w:rFonts w:hint="eastAsia" w:ascii="ＭＳ 明朝" w:hAnsi="ＭＳ 明朝"/>
        </w:rPr>
        <w:t xml:space="preserve">Q </w:t>
      </w:r>
      <w:r>
        <w:rPr>
          <w:rFonts w:hint="eastAsia" w:ascii="ＭＳ 明朝" w:hAnsi="ＭＳ 明朝"/>
        </w:rPr>
        <w:t>こども計画の策定が努力義務となっているが、考え方はどのようか。</w:t>
      </w:r>
    </w:p>
    <w:p>
      <w:pPr>
        <w:pStyle w:val="0"/>
        <w:spacing w:line="300" w:lineRule="auto"/>
        <w:rPr>
          <w:rFonts w:hint="eastAsia" w:ascii="ＭＳ 明朝" w:hAnsi="ＭＳ 明朝"/>
        </w:rPr>
      </w:pPr>
      <w:r>
        <w:rPr>
          <w:rFonts w:hint="eastAsia" w:ascii="ＭＳ 明朝" w:hAnsi="ＭＳ 明朝"/>
        </w:rPr>
        <w:t xml:space="preserve">A </w:t>
      </w:r>
      <w:r>
        <w:rPr>
          <w:rFonts w:hint="eastAsia" w:ascii="ＭＳ 明朝" w:hAnsi="ＭＳ 明朝"/>
        </w:rPr>
        <w:t>県の「こども計画」が策定された後、参考にして本市の「こども計画」の策定を検討する。</w:t>
      </w:r>
    </w:p>
    <w:p>
      <w:pPr>
        <w:pStyle w:val="0"/>
        <w:spacing w:line="300" w:lineRule="auto"/>
        <w:rPr>
          <w:rFonts w:hint="eastAsia" w:ascii="ＭＳ 明朝" w:hAnsi="ＭＳ 明朝"/>
        </w:rPr>
      </w:pPr>
    </w:p>
    <w:p>
      <w:pPr>
        <w:pStyle w:val="0"/>
        <w:spacing w:line="300" w:lineRule="auto"/>
        <w:rPr>
          <w:rFonts w:hint="eastAsia" w:ascii="ＭＳ 明朝" w:hAnsi="ＭＳ 明朝"/>
          <w:shd w:val="pct15" w:color="auto" w:fill="auto"/>
        </w:rPr>
      </w:pPr>
      <w:r>
        <w:rPr>
          <w:rFonts w:hint="eastAsia" w:ascii="ＭＳ 明朝" w:hAnsi="ＭＳ 明朝"/>
          <w:shd w:val="pct15" w:color="auto" w:fill="auto"/>
        </w:rPr>
        <w:t>農地を含めたまちづくり</w:t>
      </w:r>
    </w:p>
    <w:p>
      <w:pPr>
        <w:pStyle w:val="0"/>
        <w:spacing w:line="300" w:lineRule="auto"/>
        <w:rPr>
          <w:rFonts w:hint="eastAsia" w:ascii="ＭＳ 明朝" w:hAnsi="ＭＳ 明朝"/>
        </w:rPr>
      </w:pPr>
      <w:r>
        <w:rPr>
          <w:rFonts w:hint="eastAsia" w:ascii="ＭＳ 明朝" w:hAnsi="ＭＳ 明朝"/>
        </w:rPr>
        <w:t xml:space="preserve">Q </w:t>
      </w:r>
      <w:r>
        <w:rPr>
          <w:rFonts w:hint="eastAsia" w:ascii="ＭＳ 明朝" w:hAnsi="ＭＳ 明朝"/>
        </w:rPr>
        <w:t>農地法改正により、将来市街地として発展する可能性のある区域内の農地を、転用目的で取得することが考えられるが、どのようにしていくのか。</w:t>
      </w:r>
    </w:p>
    <w:p>
      <w:pPr>
        <w:pStyle w:val="0"/>
        <w:spacing w:line="300" w:lineRule="auto"/>
        <w:rPr>
          <w:rFonts w:hint="eastAsia" w:ascii="ＭＳ 明朝" w:hAnsi="ＭＳ 明朝"/>
        </w:rPr>
      </w:pPr>
      <w:r>
        <w:rPr>
          <w:rFonts w:hint="eastAsia" w:ascii="ＭＳ 明朝" w:hAnsi="ＭＳ 明朝"/>
        </w:rPr>
        <w:t xml:space="preserve">A </w:t>
      </w:r>
      <w:r>
        <w:rPr>
          <w:rFonts w:hint="eastAsia" w:ascii="ＭＳ 明朝" w:hAnsi="ＭＳ 明朝"/>
          <w:b w:val="1"/>
        </w:rPr>
        <w:t>建設部次長</w:t>
      </w:r>
      <w:r>
        <w:rPr>
          <w:rFonts w:hint="eastAsia" w:ascii="ＭＳ 明朝" w:hAnsi="ＭＳ 明朝"/>
        </w:rPr>
        <w:t>　法に基づき適切に対応していく。</w:t>
      </w:r>
    </w:p>
    <w:p>
      <w:pPr>
        <w:pStyle w:val="0"/>
        <w:spacing w:line="300" w:lineRule="auto"/>
        <w:rPr>
          <w:rFonts w:hint="eastAsia" w:ascii="ＭＳ 明朝" w:hAnsi="ＭＳ 明朝"/>
        </w:rPr>
      </w:pPr>
      <w:r>
        <w:rPr>
          <w:rFonts w:hint="eastAsia" w:ascii="ＭＳ 明朝" w:hAnsi="ＭＳ 明朝"/>
        </w:rPr>
        <w:t xml:space="preserve">Q </w:t>
      </w:r>
      <w:r>
        <w:rPr>
          <w:rFonts w:hint="eastAsia" w:ascii="ＭＳ 明朝" w:hAnsi="ＭＳ 明朝"/>
        </w:rPr>
        <w:t>第</w:t>
      </w:r>
      <w:r>
        <w:rPr>
          <w:rFonts w:hint="eastAsia" w:ascii="ＭＳ 明朝" w:hAnsi="ＭＳ 明朝"/>
        </w:rPr>
        <w:t>3</w:t>
      </w:r>
      <w:r>
        <w:rPr>
          <w:rFonts w:hint="eastAsia" w:ascii="ＭＳ 明朝" w:hAnsi="ＭＳ 明朝"/>
        </w:rPr>
        <w:t>次土地利用計画では、石田交差点から尾張旭市までの区間の沿道が「その他の宅地」となっているが、次期土地利用計画見直しの際には、農用地区域の見直しをするのか。</w:t>
      </w:r>
    </w:p>
    <w:p>
      <w:pPr>
        <w:pStyle w:val="0"/>
        <w:spacing w:line="300" w:lineRule="auto"/>
        <w:rPr>
          <w:rFonts w:hint="eastAsia" w:ascii="ＭＳ 明朝" w:hAnsi="ＭＳ 明朝"/>
        </w:rPr>
      </w:pPr>
      <w:r>
        <w:rPr>
          <w:rFonts w:hint="eastAsia" w:ascii="ＭＳ 明朝" w:hAnsi="ＭＳ 明朝"/>
        </w:rPr>
        <w:t xml:space="preserve">A </w:t>
      </w:r>
      <w:r>
        <w:rPr>
          <w:rFonts w:hint="eastAsia" w:ascii="ＭＳ 明朝" w:hAnsi="ＭＳ 明朝"/>
        </w:rPr>
        <w:t>次期土地利用計画の見直し内容は、現時点ではわからない。</w:t>
      </w:r>
    </w:p>
    <w:p>
      <w:pPr>
        <w:pStyle w:val="0"/>
        <w:spacing w:line="300" w:lineRule="auto"/>
        <w:rPr>
          <w:rFonts w:hint="eastAsia" w:ascii="ＭＳ 明朝" w:hAnsi="ＭＳ 明朝"/>
        </w:rPr>
      </w:pPr>
    </w:p>
    <w:p>
      <w:pPr>
        <w:pStyle w:val="0"/>
        <w:spacing w:line="300" w:lineRule="auto"/>
        <w:rPr>
          <w:rFonts w:hint="eastAsia" w:ascii="ＭＳ 明朝" w:hAnsi="ＭＳ 明朝"/>
          <w:shd w:val="pct15" w:color="auto" w:fill="auto"/>
        </w:rPr>
      </w:pPr>
      <w:r>
        <w:rPr>
          <w:rFonts w:hint="eastAsia" w:ascii="ＭＳ 明朝" w:hAnsi="ＭＳ 明朝"/>
          <w:shd w:val="pct15" w:color="auto" w:fill="auto"/>
        </w:rPr>
        <w:t>Q</w:t>
      </w:r>
      <w:r>
        <w:rPr>
          <w:rFonts w:hint="eastAsia" w:ascii="ＭＳ 明朝" w:hAnsi="ＭＳ 明朝"/>
          <w:shd w:val="pct15" w:color="auto" w:fill="auto"/>
        </w:rPr>
        <w:t>自転車事故の現状は</w:t>
      </w:r>
    </w:p>
    <w:p>
      <w:pPr>
        <w:pStyle w:val="0"/>
        <w:spacing w:line="300" w:lineRule="auto"/>
        <w:rPr>
          <w:rFonts w:hint="eastAsia" w:ascii="ＭＳ 明朝" w:hAnsi="ＭＳ 明朝"/>
        </w:rPr>
      </w:pPr>
      <w:r>
        <w:rPr>
          <w:rFonts w:hint="eastAsia" w:ascii="ＭＳ 明朝" w:hAnsi="ＭＳ 明朝"/>
          <w:shd w:val="pct15" w:color="auto" w:fill="auto"/>
        </w:rPr>
        <w:t>A</w:t>
      </w:r>
      <w:r>
        <w:rPr>
          <w:rFonts w:hint="eastAsia" w:ascii="ＭＳ 明朝" w:hAnsi="ＭＳ 明朝"/>
          <w:shd w:val="pct15" w:color="auto" w:fill="auto"/>
        </w:rPr>
        <w:t>令和</w:t>
      </w:r>
      <w:r>
        <w:rPr>
          <w:rFonts w:hint="eastAsia" w:ascii="ＭＳ 明朝" w:hAnsi="ＭＳ 明朝"/>
          <w:shd w:val="pct15" w:color="auto" w:fill="auto"/>
        </w:rPr>
        <w:t>5</w:t>
      </w:r>
      <w:r>
        <w:rPr>
          <w:rFonts w:hint="eastAsia" w:ascii="ＭＳ 明朝" w:hAnsi="ＭＳ 明朝"/>
          <w:shd w:val="pct15" w:color="auto" w:fill="auto"/>
        </w:rPr>
        <w:t>年度</w:t>
      </w:r>
      <w:r>
        <w:rPr>
          <w:rFonts w:hint="eastAsia" w:ascii="ＭＳ 明朝" w:hAnsi="ＭＳ 明朝"/>
          <w:shd w:val="pct15" w:color="auto" w:fill="auto"/>
        </w:rPr>
        <w:t>55</w:t>
      </w:r>
      <w:r>
        <w:rPr>
          <w:rFonts w:hint="eastAsia" w:ascii="ＭＳ 明朝" w:hAnsi="ＭＳ 明朝"/>
          <w:shd w:val="pct15" w:color="auto" w:fill="auto"/>
        </w:rPr>
        <w:t>件である</w:t>
      </w:r>
    </w:p>
    <w:p>
      <w:pPr>
        <w:pStyle w:val="0"/>
        <w:spacing w:line="300" w:lineRule="auto"/>
        <w:rPr>
          <w:rFonts w:hint="eastAsia" w:ascii="ＭＳ 明朝" w:hAnsi="ＭＳ 明朝"/>
        </w:rPr>
      </w:pPr>
      <w:r>
        <w:rPr>
          <w:rFonts w:hint="eastAsia" w:ascii="ＭＳ 明朝" w:hAnsi="ＭＳ 明朝"/>
        </w:rPr>
        <w:t xml:space="preserve">Q </w:t>
      </w:r>
      <w:r>
        <w:rPr>
          <w:rFonts w:hint="eastAsia" w:ascii="ＭＳ 明朝" w:hAnsi="ＭＳ 明朝"/>
        </w:rPr>
        <w:t>現在ヘルメットの補助は、小学生から高校生までと</w:t>
      </w:r>
      <w:r>
        <w:rPr>
          <w:rFonts w:hint="eastAsia" w:ascii="ＭＳ 明朝" w:hAnsi="ＭＳ 明朝"/>
        </w:rPr>
        <w:t>65</w:t>
      </w:r>
      <w:r>
        <w:rPr>
          <w:rFonts w:hint="eastAsia" w:ascii="ＭＳ 明朝" w:hAnsi="ＭＳ 明朝"/>
        </w:rPr>
        <w:t>歳以上の方で、購入金額の</w:t>
      </w:r>
      <w:r>
        <w:rPr>
          <w:rFonts w:hint="eastAsia" w:ascii="ＭＳ 明朝" w:hAnsi="ＭＳ 明朝"/>
        </w:rPr>
        <w:t>2</w:t>
      </w:r>
      <w:r>
        <w:rPr>
          <w:rFonts w:hint="eastAsia" w:ascii="ＭＳ 明朝" w:hAnsi="ＭＳ 明朝"/>
        </w:rPr>
        <w:t>分の</w:t>
      </w:r>
      <w:r>
        <w:rPr>
          <w:rFonts w:hint="eastAsia" w:ascii="ＭＳ 明朝" w:hAnsi="ＭＳ 明朝"/>
        </w:rPr>
        <w:t>1(</w:t>
      </w:r>
      <w:r>
        <w:rPr>
          <w:rFonts w:hint="eastAsia" w:ascii="ＭＳ 明朝" w:hAnsi="ＭＳ 明朝"/>
        </w:rPr>
        <w:t>上限</w:t>
      </w:r>
      <w:r>
        <w:rPr>
          <w:rFonts w:hint="eastAsia" w:ascii="ＭＳ 明朝" w:hAnsi="ＭＳ 明朝"/>
        </w:rPr>
        <w:t>2,000</w:t>
      </w:r>
      <w:r>
        <w:rPr>
          <w:rFonts w:hint="eastAsia" w:ascii="ＭＳ 明朝" w:hAnsi="ＭＳ 明朝"/>
        </w:rPr>
        <w:t>円</w:t>
      </w:r>
      <w:r>
        <w:rPr>
          <w:rFonts w:hint="eastAsia" w:ascii="ＭＳ 明朝" w:hAnsi="ＭＳ 明朝"/>
        </w:rPr>
        <w:t>)</w:t>
      </w:r>
      <w:r>
        <w:rPr>
          <w:rFonts w:hint="eastAsia" w:ascii="ＭＳ 明朝" w:hAnsi="ＭＳ 明朝"/>
        </w:rPr>
        <w:t>となっているが、全市民を対象としないか。</w:t>
      </w:r>
    </w:p>
    <w:p>
      <w:pPr>
        <w:pStyle w:val="0"/>
        <w:spacing w:line="300" w:lineRule="auto"/>
        <w:rPr>
          <w:rFonts w:hint="eastAsia" w:ascii="ＭＳ 明朝" w:hAnsi="ＭＳ 明朝"/>
        </w:rPr>
      </w:pPr>
      <w:r>
        <w:rPr>
          <w:rFonts w:hint="eastAsia" w:ascii="ＭＳ 明朝" w:hAnsi="ＭＳ 明朝"/>
        </w:rPr>
        <w:t xml:space="preserve">A </w:t>
      </w:r>
      <w:r>
        <w:rPr>
          <w:rFonts w:hint="eastAsia" w:ascii="ＭＳ 明朝" w:hAnsi="ＭＳ 明朝"/>
          <w:b w:val="1"/>
        </w:rPr>
        <w:t>くらし文化部次長</w:t>
      </w:r>
      <w:r>
        <w:rPr>
          <w:rFonts w:hint="eastAsia" w:ascii="ＭＳ 明朝" w:hAnsi="ＭＳ 明朝"/>
        </w:rPr>
        <w:t>　県との協調補助として実施しており、児童生徒等及び高齢者のみを対象としている。</w:t>
      </w:r>
    </w:p>
    <w:p>
      <w:pPr>
        <w:pStyle w:val="0"/>
        <w:spacing w:line="300" w:lineRule="auto"/>
        <w:rPr>
          <w:rFonts w:hint="eastAsia" w:ascii="ＭＳ 明朝" w:hAnsi="ＭＳ 明朝"/>
        </w:rPr>
      </w:pPr>
      <w:r>
        <w:rPr>
          <w:rFonts w:hint="eastAsia" w:ascii="ＭＳ 明朝" w:hAnsi="ＭＳ 明朝"/>
        </w:rPr>
        <w:t xml:space="preserve">Q </w:t>
      </w:r>
      <w:r>
        <w:rPr>
          <w:rFonts w:hint="eastAsia" w:ascii="ＭＳ 明朝" w:hAnsi="ＭＳ 明朝"/>
        </w:rPr>
        <w:t>これから電動キックボードが普及してくることが予想されるが、今後、自転車専用通行帯や自転車走行指導帯の新たな設置予定がないとするなら、どのような安全対策をしていくのか。</w:t>
      </w:r>
    </w:p>
    <w:p>
      <w:pPr>
        <w:pStyle w:val="0"/>
        <w:spacing w:line="300" w:lineRule="auto"/>
        <w:rPr>
          <w:rFonts w:hint="eastAsia" w:ascii="ＭＳ 明朝" w:hAnsi="ＭＳ 明朝"/>
        </w:rPr>
      </w:pPr>
      <w:r>
        <w:rPr>
          <w:rFonts w:hint="eastAsia" w:ascii="ＭＳ 明朝" w:hAnsi="ＭＳ 明朝"/>
        </w:rPr>
        <w:t xml:space="preserve">A </w:t>
      </w:r>
      <w:r>
        <w:rPr>
          <w:rFonts w:hint="eastAsia" w:ascii="ＭＳ 明朝" w:hAnsi="ＭＳ 明朝"/>
        </w:rPr>
        <w:t>市のホームページでの啓発や取扱店等での購入者への案内協力などに取り組んでいく。</w:t>
      </w:r>
    </w:p>
    <w:p>
      <w:pPr>
        <w:pStyle w:val="0"/>
        <w:spacing w:line="300" w:lineRule="auto"/>
        <w:rPr>
          <w:rFonts w:hint="eastAsia" w:ascii="ＭＳ 明朝" w:hAnsi="ＭＳ 明朝"/>
        </w:rPr>
      </w:pPr>
    </w:p>
    <w:p>
      <w:pPr>
        <w:pStyle w:val="0"/>
        <w:spacing w:line="300" w:lineRule="auto"/>
        <w:rPr>
          <w:rFonts w:hint="eastAsia" w:ascii="ＭＳ 明朝" w:hAnsi="ＭＳ 明朝"/>
        </w:rPr>
      </w:pPr>
      <w:r>
        <w:rPr>
          <w:rFonts w:hint="eastAsia" w:ascii="ＭＳ 明朝" w:hAnsi="ＭＳ 明朝"/>
        </w:rPr>
        <mc:AlternateContent>
          <mc:Choice Requires="wps">
            <w:drawing>
              <wp:inline>
                <wp:extent cx="2849245" cy="754380"/>
                <wp:effectExtent l="635" t="635" r="29845" b="10795"/>
                <wp:docPr id="1026" name="オブジェクト 0"/>
                <a:graphic xmlns:a="http://schemas.openxmlformats.org/drawingml/2006/main">
                  <a:graphicData uri="http://schemas.microsoft.com/office/word/2010/wordprocessingShape">
                    <wps:wsp>
                      <wps:cNvPr id="1026" name="オブジェクト 0"/>
                      <wps:cNvSpPr txBox="1">
                        <a:spLocks noRot="1" noMove="1" noResize="1" noChangeArrowheads="1"/>
                      </wps:cNvSpPr>
                      <wps:spPr>
                        <a:xfrm>
                          <a:off x="0" y="0"/>
                          <a:ext cx="2849245" cy="754380"/>
                        </a:xfrm>
                        <a:prstGeom prst="rect">
                          <a:avLst/>
                        </a:prstGeom>
                        <a:solidFill>
                          <a:srgbClr val="FFFFFF"/>
                        </a:solidFill>
                        <a:ln w="9525">
                          <a:solidFill>
                            <a:sysClr val="windowText" lastClr="000000"/>
                          </a:solidFill>
                          <a:miter/>
                        </a:ln>
                      </wps:spPr>
                      <wps:txbx>
                        <w:txbxContent>
                          <w:p>
                            <w:pPr>
                              <w:pStyle w:val="0"/>
                              <w:rPr>
                                <w:rFonts w:hint="eastAsia"/>
                              </w:rPr>
                            </w:pPr>
                            <w:r>
                              <w:rPr>
                                <w:rFonts w:hint="eastAsia"/>
                              </w:rPr>
                              <w:t>【写真キャプション】</w:t>
                            </w:r>
                          </w:p>
                          <w:p>
                            <w:pPr>
                              <w:pStyle w:val="0"/>
                              <w:rPr>
                                <w:rFonts w:hint="default"/>
                              </w:rPr>
                            </w:pPr>
                            <w:r>
                              <w:rPr>
                                <w:rFonts w:hint="eastAsia"/>
                              </w:rPr>
                              <w:t>図書館通り沿線に残る農地</w:t>
                            </w:r>
                            <w:bookmarkStart w:id="0" w:name="_GoBack"/>
                            <w:bookmarkEnd w:id="0"/>
                          </w:p>
                        </w:txbxContent>
                      </wps:txbx>
                      <wps:bodyPr vertOverflow="overflow" horzOverflow="overflow" lIns="74295" tIns="8890" rIns="74295" bIns="8890" upright="1"/>
                    </wps:wsp>
                  </a:graphicData>
                </a:graphic>
              </wp:inline>
            </w:drawing>
          </mc:Choice>
          <mc:Fallback>
            <w:pict>
              <v:shapetype id="_x0000_t202" coordsize="21600,21600" o:spt="202" path="m,l,21600r21600,l21600,xe">
                <v:stroke joinstyle="miter"/>
                <v:path gradientshapeok="t" o:connecttype="rect"/>
              </v:shapetype>
              <v:shape id="オブジェクト 0" style="height:59.4pt;width:224.35pt;" o:spid="_x0000_s1026" filled="t" fillcolor="#ffffff" stroked="t" strokecolor="#000000" strokeweight="0.75pt" o:spt="202" type="#_x0000_t202">
                <v:fill/>
                <v:stroke filltype="solid"/>
                <v:textbox style="layout-flow:horizontal;" inset="2.0637499999999998mm,0.24694444444444438mm,2.0637499999999998mm,0.24694444444444438mm">
                  <w:txbxContent>
                    <w:p>
                      <w:pPr>
                        <w:pStyle w:val="0"/>
                        <w:rPr>
                          <w:rFonts w:hint="eastAsia"/>
                        </w:rPr>
                      </w:pPr>
                      <w:r>
                        <w:rPr>
                          <w:rFonts w:hint="eastAsia"/>
                        </w:rPr>
                        <w:t>【写真キャプション】</w:t>
                      </w:r>
                    </w:p>
                    <w:p>
                      <w:pPr>
                        <w:pStyle w:val="0"/>
                        <w:rPr>
                          <w:rFonts w:hint="default"/>
                        </w:rPr>
                      </w:pPr>
                      <w:r>
                        <w:rPr>
                          <w:rFonts w:hint="eastAsia"/>
                        </w:rPr>
                        <w:t>図書館通り沿線に残る農地</w:t>
                      </w:r>
                      <w:bookmarkStart w:id="1" w:name="_GoBack"/>
                      <w:bookmarkEnd w:id="1"/>
                    </w:p>
                  </w:txbxContent>
                </v:textbox>
                <v:imagedata o:title=""/>
                <o:lock v:ext="edit" position="t" rotation="t"/>
                <w10:anchorlock/>
              </v:shape>
            </w:pict>
          </mc:Fallback>
        </mc:AlternateContent>
      </w:r>
    </w:p>
    <w:sectPr>
      <w:headerReference r:id="rId5" w:type="default"/>
      <w:footerReference r:id="rId6" w:type="default"/>
      <w:pgSz w:w="11906" w:h="16838"/>
      <w:pgMar w:top="1985" w:right="1701" w:bottom="1701" w:left="1701" w:header="851" w:footer="992" w:gutter="0"/>
      <w:cols w:space="420" w:num="2"/>
      <w:textDirection w:val="lrTb"/>
      <w:docGrid w:type="linesAndChars" w:linePitch="298" w:charSpace="1217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tbl>
    <w:tblPr>
      <w:tblStyle w:val="11"/>
      <w:tblW w:w="0" w:type="auto"/>
      <w:tblInd w:w="0" w:type="dxa"/>
      <w:tblLayout w:type="fixed"/>
      <w:tblLook w:firstRow="1" w:lastRow="0" w:firstColumn="1" w:lastColumn="0" w:noHBand="1" w:noVBand="1" w:val="06A0"/>
    </w:tblPr>
    <w:tblGrid>
      <w:gridCol w:w="2830"/>
      <w:gridCol w:w="2830"/>
      <w:gridCol w:w="2830"/>
    </w:tblGrid>
    <w:tr>
      <w:trPr/>
      <w:tc>
        <w:tcPr>
          <w:tcW w:w="2830" w:type="dxa"/>
          <w:vAlign w:val="top"/>
        </w:tcPr>
        <w:p>
          <w:pPr>
            <w:pStyle w:val="15"/>
            <w:ind w:left="-115"/>
            <w:jc w:val="left"/>
            <w:rPr>
              <w:rFonts w:hint="default"/>
              <w:sz w:val="21"/>
            </w:rPr>
          </w:pPr>
        </w:p>
      </w:tc>
      <w:tc>
        <w:tcPr>
          <w:tcW w:w="2830" w:type="dxa"/>
          <w:vAlign w:val="top"/>
        </w:tcPr>
        <w:p>
          <w:pPr>
            <w:pStyle w:val="15"/>
            <w:jc w:val="center"/>
            <w:rPr>
              <w:rFonts w:hint="default"/>
              <w:sz w:val="21"/>
            </w:rPr>
          </w:pPr>
        </w:p>
      </w:tc>
      <w:tc>
        <w:tcPr>
          <w:tcW w:w="2830" w:type="dxa"/>
          <w:vAlign w:val="top"/>
        </w:tcPr>
        <w:p>
          <w:pPr>
            <w:pStyle w:val="15"/>
            <w:ind w:right="-115"/>
            <w:jc w:val="right"/>
            <w:rPr>
              <w:rFonts w:hint="default"/>
              <w:sz w:val="21"/>
            </w:rPr>
          </w:pPr>
        </w:p>
      </w:tc>
    </w:tr>
  </w:tbl>
  <w:p>
    <w:pPr>
      <w:pStyle w:val="17"/>
      <w:rPr>
        <w:rFonts w:hint="default"/>
        <w:sz w:val="21"/>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ascii="ＭＳ ゴシック" w:hAnsi="ＭＳ ゴシック" w:eastAsia="ＭＳ ゴシック"/>
      </w:rPr>
    </w:pPr>
    <w:r>
      <w:rPr>
        <w:rFonts w:hint="eastAsia" w:ascii="ＭＳ ゴシック" w:hAnsi="ＭＳ ゴシック" w:eastAsia="ＭＳ ゴシック"/>
      </w:rPr>
      <w:t>フォーマットを変更しない。ＭＳ明朝</w:t>
    </w:r>
    <w:r>
      <w:rPr>
        <w:rFonts w:hint="eastAsia" w:ascii="ＭＳ ゴシック" w:hAnsi="ＭＳ ゴシック" w:eastAsia="ＭＳ ゴシック"/>
      </w:rPr>
      <w:t>10.5</w:t>
    </w:r>
    <w:r>
      <w:rPr>
        <w:rFonts w:hint="eastAsia" w:ascii="ＭＳ ゴシック" w:hAnsi="ＭＳ ゴシック" w:eastAsia="ＭＳ ゴシック"/>
      </w:rPr>
      <w:t>ポイントで記載。</w:t>
    </w:r>
  </w:p>
  <w:p>
    <w:pPr>
      <w:pStyle w:val="15"/>
      <w:rPr>
        <w:rFonts w:hint="default" w:ascii="ＭＳ ゴシック" w:hAnsi="ＭＳ ゴシック" w:eastAsia="ＭＳ ゴシック"/>
      </w:rPr>
    </w:pPr>
    <w:r>
      <w:rPr>
        <w:rFonts w:hint="eastAsia" w:ascii="ＭＳ ゴシック" w:hAnsi="ＭＳ ゴシック" w:eastAsia="ＭＳ ゴシック"/>
      </w:rPr>
      <w:t>数字はは半角。見出しは</w:t>
    </w:r>
    <w:r>
      <w:rPr>
        <w:rFonts w:hint="eastAsia" w:ascii="ＭＳ ゴシック" w:hAnsi="ＭＳ ゴシック" w:eastAsia="ＭＳ ゴシック"/>
      </w:rPr>
      <w:t>2</w:t>
    </w:r>
    <w:r>
      <w:rPr>
        <w:rFonts w:hint="eastAsia" w:ascii="ＭＳ ゴシック" w:hAnsi="ＭＳ ゴシック" w:eastAsia="ＭＳ ゴシック"/>
      </w:rPr>
      <w:t>字換算。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9"/>
  <w:bordersDoNotSurroundHeader/>
  <w:bordersDoNotSurroundFooter/>
  <w:doNotTrackMoves/>
  <w:documentProtection w:edit="readOnly" w:enforcement="0"/>
  <w:defaultTabStop w:val="840"/>
  <w:drawingGridHorizontalSpacing w:val="269"/>
  <w:drawingGridVerticalSpacing w:val="149"/>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Hyperlink"/>
    <w:next w:val="19"/>
    <w:link w:val="0"/>
    <w:uiPriority w:val="0"/>
    <w:rPr>
      <w:color w:val="0000FF"/>
      <w:u w:val="single" w:color="auto"/>
    </w:rPr>
  </w:style>
  <w:style w:type="paragraph" w:styleId="20">
    <w:name w:val="Normal (Web)"/>
    <w:basedOn w:val="0"/>
    <w:next w:val="20"/>
    <w:link w:val="0"/>
    <w:uiPriority w:val="0"/>
    <w:pPr>
      <w:widowControl w:val="1"/>
      <w:spacing w:before="100" w:beforeLines="0" w:beforeAutospacing="0" w:after="100" w:afterLines="0" w:afterAutospacing="0"/>
      <w:jc w:val="left"/>
    </w:pPr>
    <w:rPr>
      <w:rFonts w:ascii="ＭＳ Ｐゴシック" w:hAnsi="ＭＳ Ｐゴシック" w:eastAsia="ＭＳ Ｐゴシック"/>
      <w:kern w:val="0"/>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next w:val="23"/>
    <w:link w:val="0"/>
    <w:uiPriority w:val="0"/>
    <w:semiHidden/>
    <w:rPr>
      <w:vertAlign w:val="superscript"/>
    </w:rPr>
  </w:style>
  <w:style w:type="character" w:styleId="24">
    <w:name w:val="endnote reference"/>
    <w:next w:val="24"/>
    <w:link w:val="0"/>
    <w:uiPriority w:val="0"/>
    <w:semiHidden/>
    <w:rPr>
      <w:vertAlign w:val="superscript"/>
    </w:rPr>
  </w:style>
  <w:style w:type="table" w:styleId="25">
    <w:name w:val="Table Grid"/>
    <w:basedOn w:val="11"/>
    <w:next w:val="25"/>
    <w:link w:val="0"/>
    <w:uiPriority w:val="0"/>
    <w:pPr>
      <w:spacing w:after="0" w:afterLines="0" w:afterAutospacing="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525</TotalTime>
  <Pages>1</Pages>
  <Words>26</Words>
  <Characters>752</Characters>
  <Application>JUST Note</Application>
  <Lines>65</Lines>
  <Paragraphs>19</Paragraphs>
  <Company>NGikai</Company>
  <CharactersWithSpaces>769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議会だより原稿（個人質問）</dc:title>
  <dc:creator>長久手市議会事務局</dc:creator>
  <cp:lastModifiedBy>佐藤 有美</cp:lastModifiedBy>
  <dcterms:modified xsi:type="dcterms:W3CDTF">2024-04-23T06:24:18Z</dcterms:modified>
  <cp:revision>83</cp:revision>
</cp:coreProperties>
</file>