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22388" w:type="dxa"/>
        <w:tblInd w:w="0" w:type="dxa"/>
        <w:tblLayout w:type="fixed"/>
        <w:tblLook w:firstRow="1" w:lastRow="0" w:firstColumn="1" w:lastColumn="0" w:noHBand="0" w:noVBand="1" w:val="04A0"/>
      </w:tblPr>
      <w:tblGrid>
        <w:gridCol w:w="442"/>
        <w:gridCol w:w="40"/>
        <w:gridCol w:w="1446"/>
        <w:gridCol w:w="4357"/>
        <w:gridCol w:w="1528"/>
        <w:gridCol w:w="2521"/>
        <w:gridCol w:w="1852"/>
        <w:gridCol w:w="2947"/>
        <w:gridCol w:w="1233"/>
        <w:gridCol w:w="1722"/>
        <w:gridCol w:w="1691"/>
        <w:gridCol w:w="2609"/>
      </w:tblGrid>
      <w:tr>
        <w:trPr>
          <w:trHeight w:val="416"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事業名【Ｒ３年度】</w:t>
            </w:r>
          </w:p>
        </w:tc>
        <w:tc>
          <w:tcPr>
            <w:tcW w:w="20460" w:type="dxa"/>
            <w:gridSpan w:val="9"/>
            <w:vAlign w:val="top"/>
          </w:tcPr>
          <w:p>
            <w:pPr>
              <w:pStyle w:val="0"/>
              <w:rPr>
                <w:rFonts w:hint="default"/>
              </w:rPr>
            </w:pPr>
            <w:r>
              <w:rPr>
                <w:rFonts w:hint="eastAsia"/>
              </w:rPr>
              <w:t>禁煙支援</w:t>
            </w:r>
          </w:p>
        </w:tc>
      </w:tr>
      <w:tr>
        <w:trPr>
          <w:trHeight w:val="1221" w:hRule="atLeast"/>
        </w:trPr>
        <w:tc>
          <w:tcPr>
            <w:tcW w:w="1928" w:type="dxa"/>
            <w:gridSpan w:val="3"/>
            <w:vAlign w:val="top"/>
          </w:tcPr>
          <w:p>
            <w:pPr>
              <w:pStyle w:val="0"/>
              <w:rPr>
                <w:rFonts w:hint="default" w:asciiTheme="majorEastAsia" w:hAnsiTheme="majorEastAsia" w:eastAsiaTheme="majorEastAsia"/>
                <w:sz w:val="20"/>
              </w:rPr>
            </w:pPr>
            <w:r>
              <w:rPr>
                <w:rFonts w:hint="eastAsia"/>
                <w:sz w:val="20"/>
              </w:rPr>
              <w:t>背景（データヘルス計画との関係性・健康課題・計画での位置づけ）</w:t>
            </w:r>
          </w:p>
        </w:tc>
        <w:tc>
          <w:tcPr>
            <w:tcW w:w="20460" w:type="dxa"/>
            <w:gridSpan w:val="9"/>
            <w:vAlign w:val="top"/>
          </w:tcPr>
          <w:p>
            <w:pPr>
              <w:pStyle w:val="0"/>
              <w:rPr>
                <w:rFonts w:hint="default"/>
              </w:rPr>
            </w:pPr>
            <w:r>
              <w:rPr>
                <w:rFonts w:hint="eastAsia"/>
              </w:rPr>
              <w:t>糖尿病重症化予防事業の中で行った、数年以内に人工透析又は虚血性心疾のリスクがある者各上位</w:t>
            </w:r>
            <w:r>
              <w:rPr>
                <w:rFonts w:hint="eastAsia"/>
              </w:rPr>
              <w:t>100</w:t>
            </w:r>
            <w:r>
              <w:rPr>
                <w:rFonts w:hint="eastAsia"/>
              </w:rPr>
              <w:t>人（重複含む）のうち、約</w:t>
            </w:r>
            <w:r>
              <w:rPr>
                <w:rFonts w:hint="eastAsia"/>
              </w:rPr>
              <w:t>30</w:t>
            </w:r>
            <w:r>
              <w:rPr>
                <w:rFonts w:hint="eastAsia"/>
              </w:rPr>
              <w:t>人が喫煙をしている（重複含む）ことから、喫煙者に対する取組が必要である。</w:t>
            </w:r>
          </w:p>
          <w:p>
            <w:pPr>
              <w:pStyle w:val="0"/>
              <w:rPr>
                <w:rFonts w:hint="default"/>
              </w:rPr>
            </w:pPr>
          </w:p>
          <w:p>
            <w:pPr>
              <w:pStyle w:val="0"/>
              <w:rPr>
                <w:rFonts w:hint="default"/>
              </w:rPr>
            </w:pPr>
          </w:p>
        </w:tc>
      </w:tr>
      <w:tr>
        <w:trPr>
          <w:trHeight w:val="308"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20460" w:type="dxa"/>
            <w:gridSpan w:val="9"/>
            <w:vAlign w:val="top"/>
          </w:tcPr>
          <w:p>
            <w:pPr>
              <w:pStyle w:val="0"/>
              <w:rPr>
                <w:rFonts w:hint="default"/>
                <w:color w:val="000000" w:themeColor="text1"/>
              </w:rPr>
            </w:pPr>
            <w:r>
              <w:rPr>
                <w:rFonts w:hint="eastAsia"/>
                <w:color w:val="000000" w:themeColor="text1"/>
              </w:rPr>
              <w:t>禁煙に関する情報提供により禁煙の動機付けを行う</w:t>
            </w:r>
          </w:p>
        </w:tc>
      </w:tr>
      <w:tr>
        <w:trPr>
          <w:trHeight w:val="814"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対象者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周知・募集方法</w:t>
            </w:r>
          </w:p>
        </w:tc>
        <w:tc>
          <w:tcPr>
            <w:tcW w:w="20460" w:type="dxa"/>
            <w:gridSpan w:val="9"/>
            <w:vAlign w:val="top"/>
          </w:tcPr>
          <w:p>
            <w:pPr>
              <w:pStyle w:val="0"/>
              <w:rPr>
                <w:rFonts w:hint="default"/>
                <w:color w:val="000000" w:themeColor="text1"/>
              </w:rPr>
            </w:pPr>
            <w:r>
              <w:rPr>
                <w:rFonts w:hint="eastAsia"/>
                <w:color w:val="000000" w:themeColor="text1"/>
              </w:rPr>
              <w:t>委託業者分析システムから健診時において、喫煙の習慣があると回答したもの。</w:t>
            </w:r>
          </w:p>
        </w:tc>
      </w:tr>
      <w:tr>
        <w:trPr>
          <w:trHeight w:val="1148" w:hRule="atLeast"/>
        </w:trPr>
        <w:tc>
          <w:tcPr>
            <w:tcW w:w="442" w:type="dxa"/>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事業内容</w:t>
            </w:r>
          </w:p>
        </w:tc>
        <w:tc>
          <w:tcPr>
            <w:tcW w:w="1486" w:type="dxa"/>
            <w:gridSpan w:val="2"/>
            <w:vAlign w:val="top"/>
          </w:tcPr>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実施期間</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実施日時</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実施場所</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内容</w:t>
            </w:r>
          </w:p>
        </w:tc>
        <w:tc>
          <w:tcPr>
            <w:tcW w:w="20460" w:type="dxa"/>
            <w:gridSpan w:val="9"/>
            <w:vAlign w:val="top"/>
          </w:tcPr>
          <w:p>
            <w:pPr>
              <w:pStyle w:val="0"/>
              <w:rPr>
                <w:rFonts w:hint="default"/>
                <w:color w:val="000000" w:themeColor="text1"/>
              </w:rPr>
            </w:pPr>
            <w:r>
              <w:rPr>
                <w:rFonts w:hint="eastAsia"/>
                <w:color w:val="000000" w:themeColor="text1"/>
              </w:rPr>
              <w:t>新年度の目標を禁煙とするきっかけになるように</w:t>
            </w:r>
            <w:r>
              <w:rPr>
                <w:rFonts w:hint="eastAsia"/>
                <w:color w:val="000000" w:themeColor="text1"/>
              </w:rPr>
              <w:t>12</w:t>
            </w:r>
            <w:r>
              <w:rPr>
                <w:rFonts w:hint="eastAsia"/>
                <w:color w:val="000000" w:themeColor="text1"/>
              </w:rPr>
              <w:t>月ごろに喫煙のリスクやセルフメディケーションの大切さ、市が実施する禁煙外来治療費助成事業について通知する。</w:t>
            </w:r>
          </w:p>
        </w:tc>
      </w:tr>
      <w:tr>
        <w:trPr>
          <w:trHeight w:val="794" w:hRule="atLeast"/>
        </w:trPr>
        <w:tc>
          <w:tcPr>
            <w:tcW w:w="442" w:type="dxa"/>
            <w:vMerge w:val="continue"/>
            <w:vAlign w:val="top"/>
          </w:tcPr>
          <w:p>
            <w:pPr>
              <w:pStyle w:val="0"/>
              <w:rPr>
                <w:rFonts w:hint="default" w:asciiTheme="majorEastAsia" w:hAnsiTheme="majorEastAsia" w:eastAsiaTheme="majorEastAsia"/>
                <w:sz w:val="20"/>
              </w:rPr>
            </w:pPr>
          </w:p>
        </w:tc>
        <w:tc>
          <w:tcPr>
            <w:tcW w:w="1486" w:type="dxa"/>
            <w:gridSpan w:val="2"/>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実施体制</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（従事者・担当ごとの役割等）</w:t>
            </w:r>
          </w:p>
        </w:tc>
        <w:tc>
          <w:tcPr>
            <w:tcW w:w="20460" w:type="dxa"/>
            <w:gridSpan w:val="9"/>
            <w:vAlign w:val="top"/>
          </w:tcPr>
          <w:p>
            <w:pPr>
              <w:pStyle w:val="0"/>
              <w:rPr>
                <w:rFonts w:hint="default"/>
                <w:color w:val="000000" w:themeColor="text1"/>
              </w:rPr>
            </w:pPr>
            <w:r>
              <w:rPr>
                <w:rFonts w:hint="eastAsia"/>
                <w:color w:val="000000" w:themeColor="text1"/>
              </w:rPr>
              <w:t>保険医療課：事務１名、保健師</w:t>
            </w:r>
            <w:r>
              <w:rPr>
                <w:rFonts w:hint="eastAsia"/>
                <w:color w:val="000000" w:themeColor="text1"/>
              </w:rPr>
              <w:t>1</w:t>
            </w:r>
            <w:r>
              <w:rPr>
                <w:rFonts w:hint="eastAsia"/>
                <w:color w:val="000000" w:themeColor="text1"/>
              </w:rPr>
              <w:t>名　健康推進課：</w:t>
            </w:r>
            <w:r>
              <w:rPr>
                <w:rFonts w:hint="eastAsia"/>
                <w:color w:val="000000" w:themeColor="text1"/>
              </w:rPr>
              <w:t>1</w:t>
            </w:r>
            <w:r>
              <w:rPr>
                <w:rFonts w:hint="eastAsia"/>
                <w:color w:val="000000" w:themeColor="text1"/>
              </w:rPr>
              <w:t>名（禁煙外来治療費助成事業）</w:t>
            </w:r>
          </w:p>
          <w:p>
            <w:pPr>
              <w:pStyle w:val="0"/>
              <w:rPr>
                <w:rFonts w:hint="default"/>
                <w:color w:val="000000" w:themeColor="text1"/>
              </w:rPr>
            </w:pPr>
            <w:r>
              <w:rPr>
                <w:rFonts w:hint="eastAsia"/>
                <w:color w:val="000000" w:themeColor="text1"/>
              </w:rPr>
              <w:t>抽出：委託業者の分析ツールを用いて保険医療課職員が実施。　通知作成：既製品を購入予定（購入するチラシについては健康推進課と協議して決定する）</w:t>
            </w:r>
          </w:p>
          <w:p>
            <w:pPr>
              <w:pStyle w:val="0"/>
              <w:rPr>
                <w:rFonts w:hint="default"/>
                <w:color w:val="000000" w:themeColor="text1"/>
              </w:rPr>
            </w:pPr>
            <w:r>
              <w:rPr>
                <w:rFonts w:hint="eastAsia"/>
                <w:color w:val="000000" w:themeColor="text1"/>
              </w:rPr>
              <w:t>通知発送：保険医療課（</w:t>
            </w:r>
            <w:r>
              <w:rPr>
                <w:rFonts w:hint="eastAsia"/>
                <w:color w:val="000000" w:themeColor="text1"/>
              </w:rPr>
              <w:t>12</w:t>
            </w:r>
            <w:r>
              <w:rPr>
                <w:rFonts w:hint="eastAsia"/>
                <w:color w:val="000000" w:themeColor="text1"/>
              </w:rPr>
              <w:t>月頃）　事業評価：委託業者</w:t>
            </w:r>
          </w:p>
          <w:p>
            <w:pPr>
              <w:pStyle w:val="0"/>
              <w:rPr>
                <w:rFonts w:hint="default"/>
                <w:color w:val="000000" w:themeColor="text1"/>
              </w:rPr>
            </w:pPr>
          </w:p>
        </w:tc>
      </w:tr>
      <w:tr>
        <w:trPr>
          <w:trHeight w:val="308" w:hRule="atLeast"/>
        </w:trPr>
        <w:tc>
          <w:tcPr>
            <w:tcW w:w="1928" w:type="dxa"/>
            <w:gridSpan w:val="3"/>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今年度の重点目標</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snapToGrid w:val="0"/>
              <w:ind w:leftChars="0" w:firstLine="0" w:firstLineChars="0"/>
              <w:rPr>
                <w:rFonts w:hint="default"/>
              </w:rPr>
            </w:pPr>
            <w:r>
              <w:rPr>
                <w:rFonts w:hint="eastAsia"/>
              </w:rPr>
              <w:t>適切な対象者に通知を発送する。</w:t>
            </w:r>
          </w:p>
        </w:tc>
        <w:tc>
          <w:tcPr>
            <w:tcW w:w="1852" w:type="dxa"/>
            <w:tcBorders>
              <w:top w:val="single" w:color="2E74B4" w:themeColor="accent1" w:themeShade="BF" w:sz="18" w:space="0"/>
              <w:left w:val="single" w:color="2E74B4" w:themeColor="accent1" w:themeShade="BF" w:sz="18"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ajorEastAsia" w:hAnsiTheme="majorEastAsia" w:eastAsiaTheme="majorEastAsia"/>
              </w:rPr>
            </w:pPr>
            <w:r>
              <w:rPr>
                <w:rFonts w:hint="eastAsia" w:asciiTheme="majorEastAsia" w:hAnsiTheme="majorEastAsia" w:eastAsiaTheme="majorEastAsia"/>
              </w:rPr>
              <w:t>重点目標に対する実施後の評価</w:t>
            </w:r>
          </w:p>
        </w:tc>
        <w:tc>
          <w:tcPr>
            <w:tcW w:w="10202" w:type="dxa"/>
            <w:gridSpan w:val="5"/>
            <w:tcBorders>
              <w:top w:val="single" w:color="2E74B4" w:themeColor="accent1" w:themeShade="BF" w:sz="18"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widowControl w:val="1"/>
              <w:jc w:val="left"/>
              <w:rPr>
                <w:rFonts w:hint="default"/>
              </w:rPr>
            </w:pPr>
            <w:r>
              <w:rPr>
                <w:rFonts w:hint="eastAsia"/>
              </w:rPr>
              <w:t>対象者全員に通知を発送した</w:t>
            </w:r>
          </w:p>
          <w:p>
            <w:pPr>
              <w:pStyle w:val="0"/>
              <w:rPr>
                <w:rFonts w:hint="default"/>
              </w:rPr>
            </w:pPr>
          </w:p>
        </w:tc>
      </w:tr>
      <w:tr>
        <w:trPr>
          <w:trHeight w:val="282" w:hRule="atLeast"/>
        </w:trPr>
        <w:tc>
          <w:tcPr>
            <w:tcW w:w="482" w:type="dxa"/>
            <w:gridSpan w:val="2"/>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目標</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評価指標</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446" w:type="dxa"/>
            <w:vMerge w:val="restart"/>
            <w:vAlign w:val="top"/>
          </w:tcPr>
          <w:p>
            <w:pPr>
              <w:pStyle w:val="0"/>
              <w:widowControl w:val="1"/>
              <w:jc w:val="lef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区分</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ind w:firstLine="2940" w:firstLineChars="1400"/>
              <w:rPr>
                <w:rFonts w:hint="default" w:asciiTheme="majorEastAsia" w:hAnsiTheme="majorEastAsia" w:eastAsiaTheme="majorEastAsia"/>
              </w:rPr>
            </w:pPr>
            <w:r>
              <w:rPr>
                <w:rFonts w:hint="eastAsia" w:asciiTheme="majorEastAsia" w:hAnsiTheme="majorEastAsia" w:eastAsiaTheme="majorEastAsia"/>
              </w:rPr>
              <w:t>事　業　計　画</w:t>
            </w:r>
          </w:p>
        </w:tc>
        <w:tc>
          <w:tcPr>
            <w:tcW w:w="12054" w:type="dxa"/>
            <w:gridSpan w:val="6"/>
            <w:tcBorders>
              <w:top w:val="none" w:color="auto" w:sz="0" w:space="0"/>
              <w:left w:val="single" w:color="2E74B4" w:themeColor="accent1" w:themeShade="BF" w:sz="18"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実施後の評価</w:t>
            </w:r>
            <w:r>
              <w:rPr>
                <w:rFonts w:hint="eastAsia" w:asciiTheme="majorEastAsia" w:hAnsiTheme="majorEastAsia" w:eastAsiaTheme="majorEastAsia"/>
                <w:sz w:val="20"/>
              </w:rPr>
              <w:t>（＊達成度　Ａ：目標達成　Ｂ：目標達成していないが改善　Ｃ：変化なし　Ｄ：悪化　Ｅ：判定不能）</w:t>
            </w:r>
          </w:p>
        </w:tc>
      </w:tr>
      <w:tr>
        <w:trPr>
          <w:trHeight w:val="501"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widowControl w:val="1"/>
              <w:jc w:val="left"/>
              <w:rPr>
                <w:rFonts w:hint="default" w:asciiTheme="majorEastAsia" w:hAnsiTheme="majorEastAsia" w:eastAsiaTheme="majorEastAsia"/>
                <w:sz w:val="20"/>
              </w:rPr>
            </w:pPr>
          </w:p>
        </w:tc>
        <w:tc>
          <w:tcPr>
            <w:tcW w:w="4357" w:type="dxa"/>
            <w:vAlign w:val="top"/>
          </w:tcPr>
          <w:p>
            <w:pPr>
              <w:pStyle w:val="0"/>
              <w:ind w:firstLine="800" w:firstLineChars="400"/>
              <w:rPr>
                <w:rFonts w:hint="default" w:asciiTheme="majorEastAsia" w:hAnsiTheme="majorEastAsia" w:eastAsiaTheme="majorEastAsia"/>
                <w:sz w:val="20"/>
              </w:rPr>
            </w:pPr>
            <w:r>
              <w:rPr>
                <w:rFonts w:hint="eastAsia" w:asciiTheme="majorEastAsia" w:hAnsiTheme="majorEastAsia" w:eastAsiaTheme="majorEastAsia"/>
                <w:sz w:val="20"/>
              </w:rPr>
              <w:t>指標（事業番号ごとに設定）</w:t>
            </w:r>
          </w:p>
        </w:tc>
        <w:tc>
          <w:tcPr>
            <w:tcW w:w="152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目標値</w:t>
            </w:r>
          </w:p>
        </w:tc>
        <w:tc>
          <w:tcPr>
            <w:tcW w:w="2521"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評価（データ入手方法・</w:t>
            </w:r>
          </w:p>
          <w:p>
            <w:pPr>
              <w:pStyle w:val="0"/>
              <w:rPr>
                <w:rFonts w:hint="default" w:asciiTheme="majorEastAsia" w:hAnsiTheme="majorEastAsia" w:eastAsiaTheme="majorEastAsia"/>
              </w:rPr>
            </w:pPr>
            <w:r>
              <w:rPr>
                <w:rFonts w:hint="eastAsia" w:asciiTheme="majorEastAsia" w:hAnsiTheme="majorEastAsia" w:eastAsiaTheme="majorEastAsia"/>
              </w:rPr>
              <w:t>入手先・時期）</w:t>
            </w:r>
          </w:p>
        </w:tc>
        <w:tc>
          <w:tcPr>
            <w:tcW w:w="4799" w:type="dxa"/>
            <w:gridSpan w:val="2"/>
            <w:tcBorders>
              <w:top w:val="none" w:color="auto" w:sz="0"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ind w:firstLine="1470" w:firstLineChars="700"/>
              <w:rPr>
                <w:rFonts w:hint="default" w:asciiTheme="majorEastAsia" w:hAnsiTheme="majorEastAsia" w:eastAsiaTheme="majorEastAsia"/>
              </w:rPr>
            </w:pPr>
            <w:r>
              <w:rPr>
                <w:rFonts w:hint="eastAsia" w:asciiTheme="majorEastAsia" w:hAnsiTheme="majorEastAsia" w:eastAsiaTheme="majorEastAsia"/>
              </w:rPr>
              <w:t>指標の評価結果</w:t>
            </w:r>
          </w:p>
        </w:tc>
        <w:tc>
          <w:tcPr>
            <w:tcW w:w="1233"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達成度＊</w:t>
            </w:r>
          </w:p>
        </w:tc>
        <w:tc>
          <w:tcPr>
            <w:tcW w:w="1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成功・推進要因</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課題・阻害要因</w:t>
            </w:r>
          </w:p>
        </w:tc>
        <w:tc>
          <w:tcPr>
            <w:tcW w:w="2609"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全体評価・今後の方向性</w:t>
            </w:r>
          </w:p>
        </w:tc>
      </w:tr>
      <w:tr>
        <w:trPr>
          <w:trHeight w:val="805"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ストラク</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チャー</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保険医療課と健康推進課で実施方法の検討</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打ち合わせ開催</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計画時、評価時の</w:t>
            </w:r>
            <w:r>
              <w:rPr>
                <w:rFonts w:hint="eastAsia"/>
              </w:rPr>
              <w:t>2</w:t>
            </w:r>
            <w:r>
              <w:rPr>
                <w:rFonts w:hint="eastAsia"/>
              </w:rPr>
              <w:t>回</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打合せを実施し、その後も適宜情報共有を行った。</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早い段階で、事業実施についての情報共有をした。</w:t>
            </w:r>
          </w:p>
        </w:tc>
        <w:tc>
          <w:tcPr>
            <w:tcW w:w="1691" w:type="dxa"/>
            <w:vMerge w:val="restart"/>
            <w:vAlign w:val="top"/>
          </w:tcPr>
          <w:p>
            <w:pPr>
              <w:pStyle w:val="0"/>
              <w:rPr>
                <w:rFonts w:hint="default"/>
              </w:rPr>
            </w:pPr>
            <w:r>
              <w:rPr>
                <w:rFonts w:hint="eastAsia"/>
              </w:rPr>
              <w:t>新年の目標を禁煙にするために</w:t>
            </w:r>
            <w:r>
              <w:rPr>
                <w:rFonts w:hint="eastAsia"/>
              </w:rPr>
              <w:t>12</w:t>
            </w:r>
            <w:r>
              <w:rPr>
                <w:rFonts w:hint="eastAsia"/>
              </w:rPr>
              <w:t>月に発送したが、その結果まだ健診結果がない人もいるため前年度の健診結果を使用。そのため既に禁煙した人もいたと考えられる。</w:t>
            </w:r>
          </w:p>
        </w:tc>
        <w:tc>
          <w:tcPr>
            <w:tcW w:w="2609" w:type="dxa"/>
            <w:vMerge w:val="restart"/>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新年の目標を禁煙にするということで、禁煙及びセルフメディケーション支援の通知、保健師による支援に関する通知を発送した。喫煙</w:t>
            </w:r>
            <w:bookmarkStart w:id="0" w:name="_GoBack"/>
            <w:bookmarkEnd w:id="0"/>
            <w:r>
              <w:rPr>
                <w:rFonts w:hint="eastAsia"/>
              </w:rPr>
              <w:t>は趣味として継続している人も多く、今後の実施方法には検討が必要。</w:t>
            </w: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業務に従事するマンパワーの確保</w:t>
            </w:r>
          </w:p>
        </w:tc>
        <w:tc>
          <w:tcPr>
            <w:tcW w:w="152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必要数の確保</w:t>
            </w:r>
          </w:p>
        </w:tc>
        <w:tc>
          <w:tcPr>
            <w:tcW w:w="2521" w:type="dxa"/>
            <w:tcBorders>
              <w:top w:val="dashSmallGap" w:color="auto" w:sz="4"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事業開始時及び終了時</w:t>
            </w:r>
          </w:p>
        </w:tc>
        <w:tc>
          <w:tcPr>
            <w:tcW w:w="4799" w:type="dxa"/>
            <w:gridSpan w:val="2"/>
            <w:tcBorders>
              <w:top w:val="dashSmallGap" w:color="auto" w:sz="4"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計画どおりの実施体制で事業を実施できた。</w:t>
            </w:r>
          </w:p>
        </w:tc>
        <w:tc>
          <w:tcPr>
            <w:tcW w:w="12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プロセス</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対象者の適切な選定</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対象者の適切な選定</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事業開始時及び終了時</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令和</w:t>
            </w:r>
            <w:r>
              <w:rPr>
                <w:rFonts w:hint="eastAsia"/>
              </w:rPr>
              <w:t>2</w:t>
            </w:r>
            <w:r>
              <w:rPr>
                <w:rFonts w:hint="eastAsia"/>
              </w:rPr>
              <w:t>年度の健診結果を基に選定。</w:t>
            </w:r>
            <w:r>
              <w:rPr>
                <w:rFonts w:hint="eastAsia"/>
              </w:rPr>
              <w:t>12</w:t>
            </w:r>
            <w:r>
              <w:rPr>
                <w:rFonts w:hint="eastAsia"/>
              </w:rPr>
              <w:t>月に発送を予定したため、直近の健診結果を反映していない。</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722"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91"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ind w:firstLine="200" w:firstLineChars="10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対象者への勧奨通知の内容・送付時期の適切性</w:t>
            </w:r>
          </w:p>
        </w:tc>
        <w:tc>
          <w:tcPr>
            <w:tcW w:w="152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内容、時期ともに適切に送付する</w:t>
            </w:r>
          </w:p>
        </w:tc>
        <w:tc>
          <w:tcPr>
            <w:tcW w:w="2521" w:type="dxa"/>
            <w:tcBorders>
              <w:top w:val="dashSmallGap" w:color="auto" w:sz="4"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事業終了後、次年度健診結果から評価</w:t>
            </w:r>
          </w:p>
        </w:tc>
        <w:tc>
          <w:tcPr>
            <w:tcW w:w="4799" w:type="dxa"/>
            <w:gridSpan w:val="2"/>
            <w:tcBorders>
              <w:top w:val="dashSmallGap" w:color="auto" w:sz="4"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適切なタイミングで適切な通知を発送した。</w:t>
            </w:r>
          </w:p>
        </w:tc>
        <w:tc>
          <w:tcPr>
            <w:tcW w:w="12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適切に準備をすすめた。</w:t>
            </w:r>
          </w:p>
        </w:tc>
        <w:tc>
          <w:tcPr>
            <w:tcW w:w="1691" w:type="dxa"/>
            <w:vMerge w:val="continue"/>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483"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アウトプット</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対象者への通知発送率</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100</w:t>
            </w:r>
            <w:r>
              <w:rPr>
                <w:rFonts w:hint="eastAsia"/>
              </w:rPr>
              <w:t>％</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事業終了後評価（</w:t>
            </w:r>
            <w:r>
              <w:rPr>
                <w:rFonts w:hint="eastAsia"/>
              </w:rPr>
              <w:t>1</w:t>
            </w:r>
            <w:r>
              <w:rPr>
                <w:rFonts w:hint="eastAsia"/>
              </w:rPr>
              <w:t>月）</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対象者全員に発送した</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適切に準備をすすめた。</w:t>
            </w:r>
          </w:p>
        </w:tc>
        <w:tc>
          <w:tcPr>
            <w:tcW w:w="1691" w:type="dxa"/>
            <w:vMerge w:val="continue"/>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eastAsia"/>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アウトカム</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翌年健診結果で現在煙草を習慣的に吸っていますかという項目に対してはいと答える人数</w:t>
            </w:r>
          </w:p>
          <w:p>
            <w:pPr>
              <w:pStyle w:val="0"/>
              <w:rPr>
                <w:rFonts w:hint="default"/>
                <w:color w:val="000000" w:themeColor="text1"/>
              </w:rPr>
            </w:pPr>
            <w:r>
              <w:rPr>
                <w:rFonts w:hint="eastAsia"/>
                <w:color w:val="000000" w:themeColor="text1"/>
              </w:rPr>
              <w:t>※参考値</w:t>
            </w:r>
            <w:r>
              <w:rPr>
                <w:rFonts w:hint="eastAsia"/>
                <w:color w:val="000000" w:themeColor="text1"/>
              </w:rPr>
              <w:t>R1</w:t>
            </w:r>
            <w:r>
              <w:rPr>
                <w:rFonts w:hint="eastAsia"/>
                <w:color w:val="000000" w:themeColor="text1"/>
              </w:rPr>
              <w:t>年度</w:t>
            </w:r>
            <w:r>
              <w:rPr>
                <w:rFonts w:hint="eastAsia"/>
                <w:color w:val="000000" w:themeColor="text1"/>
              </w:rPr>
              <w:t>347</w:t>
            </w:r>
            <w:r>
              <w:rPr>
                <w:rFonts w:hint="eastAsia"/>
                <w:color w:val="000000" w:themeColor="text1"/>
              </w:rPr>
              <w:t>人（受診者の</w:t>
            </w:r>
            <w:r>
              <w:rPr>
                <w:rFonts w:hint="eastAsia"/>
                <w:color w:val="000000" w:themeColor="text1"/>
              </w:rPr>
              <w:t>10.3%)</w:t>
            </w:r>
            <w:r>
              <w:rPr>
                <w:rFonts w:hint="eastAsia"/>
                <w:color w:val="000000" w:themeColor="text1"/>
              </w:rPr>
              <w:t>、</w:t>
            </w:r>
            <w:r>
              <w:rPr>
                <w:rFonts w:hint="eastAsia"/>
                <w:color w:val="000000" w:themeColor="text1"/>
              </w:rPr>
              <w:t>R2</w:t>
            </w:r>
            <w:r>
              <w:rPr>
                <w:rFonts w:hint="eastAsia"/>
                <w:color w:val="000000" w:themeColor="text1"/>
              </w:rPr>
              <w:t>年度</w:t>
            </w:r>
            <w:r>
              <w:rPr>
                <w:rFonts w:hint="eastAsia"/>
                <w:color w:val="000000" w:themeColor="text1"/>
              </w:rPr>
              <w:t>317</w:t>
            </w:r>
            <w:r>
              <w:rPr>
                <w:rFonts w:hint="eastAsia"/>
                <w:color w:val="000000" w:themeColor="text1"/>
              </w:rPr>
              <w:t>人（受診者の</w:t>
            </w:r>
            <w:r>
              <w:rPr>
                <w:rFonts w:hint="eastAsia"/>
                <w:color w:val="000000" w:themeColor="text1"/>
              </w:rPr>
              <w:t>10.2%)</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受診者の</w:t>
            </w:r>
            <w:r>
              <w:rPr>
                <w:rFonts w:hint="eastAsia"/>
                <w:color w:val="000000" w:themeColor="text1"/>
              </w:rPr>
              <w:t>9</w:t>
            </w:r>
            <w:r>
              <w:rPr>
                <w:rFonts w:hint="eastAsia"/>
                <w:color w:val="000000" w:themeColor="text1"/>
              </w:rPr>
              <w:t>％</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次年度健診結果から評価</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次年度の健診結果で評価</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E</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w:t>
            </w:r>
          </w:p>
        </w:tc>
        <w:tc>
          <w:tcPr>
            <w:tcW w:w="1691" w:type="dxa"/>
            <w:vMerge w:val="restart"/>
            <w:vAlign w:val="top"/>
          </w:tcPr>
          <w:p>
            <w:pPr>
              <w:pStyle w:val="0"/>
              <w:rPr>
                <w:rFonts w:hint="default"/>
              </w:rPr>
            </w:pPr>
            <w:r>
              <w:rPr>
                <w:rFonts w:hint="eastAsia"/>
              </w:rPr>
              <w:t>－</w:t>
            </w: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67" w:hRule="atLeast"/>
        </w:trPr>
        <w:tc>
          <w:tcPr>
            <w:tcW w:w="482" w:type="dxa"/>
            <w:gridSpan w:val="2"/>
            <w:vMerge w:val="continue"/>
            <w:vAlign w:val="top"/>
          </w:tcPr>
          <w:p>
            <w:pPr>
              <w:pStyle w:val="0"/>
              <w:rPr>
                <w:rFonts w:hint="eastAsia"/>
              </w:rPr>
            </w:pPr>
          </w:p>
        </w:tc>
        <w:tc>
          <w:tcPr>
            <w:tcW w:w="1446" w:type="dxa"/>
            <w:vMerge w:val="continue"/>
            <w:vAlign w:val="top"/>
          </w:tcPr>
          <w:p>
            <w:pPr>
              <w:pStyle w:val="0"/>
              <w:rPr>
                <w:rFonts w:hint="eastAsia"/>
              </w:rPr>
            </w:pPr>
          </w:p>
        </w:tc>
        <w:tc>
          <w:tcPr>
            <w:tcW w:w="435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通知対象者の内、事業利用者数</w:t>
            </w:r>
          </w:p>
        </w:tc>
        <w:tc>
          <w:tcPr>
            <w:tcW w:w="15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20</w:t>
            </w:r>
            <w:r>
              <w:rPr>
                <w:rFonts w:hint="eastAsia"/>
                <w:color w:val="000000" w:themeColor="text1"/>
              </w:rPr>
              <w:t>％</w:t>
            </w:r>
          </w:p>
        </w:tc>
        <w:tc>
          <w:tcPr>
            <w:tcW w:w="2521"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事業終了後評価（</w:t>
            </w:r>
            <w:r>
              <w:rPr>
                <w:rFonts w:hint="eastAsia"/>
                <w:color w:val="000000" w:themeColor="text1"/>
              </w:rPr>
              <w:t>1</w:t>
            </w:r>
            <w:r>
              <w:rPr>
                <w:rFonts w:hint="eastAsia"/>
                <w:color w:val="000000" w:themeColor="text1"/>
              </w:rPr>
              <w:t>月）</w:t>
            </w:r>
          </w:p>
        </w:tc>
        <w:tc>
          <w:tcPr>
            <w:tcW w:w="4799"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7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91" w:type="dxa"/>
            <w:vMerge w:val="continue"/>
            <w:vAlign w:val="top"/>
          </w:tcPr>
          <w:p>
            <w:pPr>
              <w:pStyle w:val="0"/>
              <w:rPr>
                <w:rFonts w:hint="eastAsia"/>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bl>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802640</wp:posOffset>
                </wp:positionH>
                <wp:positionV relativeFrom="paragraph">
                  <wp:posOffset>-9184005</wp:posOffset>
                </wp:positionV>
                <wp:extent cx="12433300" cy="3086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723.15pt;mso-position-vertical-relative:text;mso-position-horizontal-relative:text;v-text-anchor:middle;position:absolute;height:24.3pt;mso-wrap-distance-top:0pt;width:979pt;mso-wrap-distance-left:9pt;margin-left:63.2pt;z-index:2;" o:spid="_x0000_s1026"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p>
    <w:sectPr>
      <w:pgSz w:w="23814" w:h="16839"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2</Pages>
  <Words>32</Words>
  <Characters>1376</Characters>
  <Application>JUST Note</Application>
  <Lines>178</Lines>
  <Paragraphs>85</Paragraphs>
  <CharactersWithSpaces>1407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dc:creator>
  <cp:lastModifiedBy>橋本 賢治</cp:lastModifiedBy>
  <cp:lastPrinted>2022-02-04T07:11:10Z</cp:lastPrinted>
  <dcterms:created xsi:type="dcterms:W3CDTF">2021-04-01T06:43:00Z</dcterms:created>
  <dcterms:modified xsi:type="dcterms:W3CDTF">2022-03-28T07:42:10Z</dcterms:modified>
  <cp:revision>12</cp:revision>
</cp:coreProperties>
</file>