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22388" w:type="dxa"/>
        <w:tblInd w:w="0" w:type="dxa"/>
        <w:tblLayout w:type="fixed"/>
        <w:tblLook w:firstRow="1" w:lastRow="0" w:firstColumn="1" w:lastColumn="0" w:noHBand="0" w:noVBand="1" w:val="04A0"/>
      </w:tblPr>
      <w:tblGrid>
        <w:gridCol w:w="442"/>
        <w:gridCol w:w="40"/>
        <w:gridCol w:w="1446"/>
        <w:gridCol w:w="4357"/>
        <w:gridCol w:w="1528"/>
        <w:gridCol w:w="2521"/>
        <w:gridCol w:w="1852"/>
        <w:gridCol w:w="2947"/>
        <w:gridCol w:w="1233"/>
        <w:gridCol w:w="1722"/>
        <w:gridCol w:w="1691"/>
        <w:gridCol w:w="2609"/>
      </w:tblGrid>
      <w:tr>
        <w:trPr>
          <w:trHeight w:val="416"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事業名【</w:t>
            </w:r>
            <w:r>
              <w:rPr>
                <w:rFonts w:hint="eastAsia" w:asciiTheme="majorEastAsia" w:hAnsiTheme="majorEastAsia" w:eastAsiaTheme="majorEastAsia"/>
                <w:sz w:val="20"/>
              </w:rPr>
              <w:t>R3</w:t>
            </w:r>
            <w:r>
              <w:rPr>
                <w:rFonts w:hint="eastAsia" w:asciiTheme="majorEastAsia" w:hAnsiTheme="majorEastAsia" w:eastAsiaTheme="majorEastAsia"/>
                <w:sz w:val="20"/>
              </w:rPr>
              <w:t>年度】</w:t>
            </w:r>
          </w:p>
        </w:tc>
        <w:tc>
          <w:tcPr>
            <w:tcW w:w="20460" w:type="dxa"/>
            <w:gridSpan w:val="9"/>
            <w:vAlign w:val="top"/>
          </w:tcPr>
          <w:p>
            <w:pPr>
              <w:pStyle w:val="0"/>
              <w:rPr>
                <w:rFonts w:hint="default"/>
              </w:rPr>
            </w:pPr>
            <w:r>
              <w:rPr>
                <w:rFonts w:hint="eastAsia"/>
              </w:rPr>
              <w:t>特定健康診査受診勧奨</w:t>
            </w:r>
          </w:p>
        </w:tc>
      </w:tr>
      <w:tr>
        <w:trPr>
          <w:trHeight w:val="1221" w:hRule="atLeast"/>
        </w:trPr>
        <w:tc>
          <w:tcPr>
            <w:tcW w:w="1928" w:type="dxa"/>
            <w:gridSpan w:val="3"/>
            <w:vAlign w:val="top"/>
          </w:tcPr>
          <w:p>
            <w:pPr>
              <w:pStyle w:val="0"/>
              <w:rPr>
                <w:rFonts w:hint="default" w:asciiTheme="majorEastAsia" w:hAnsiTheme="majorEastAsia" w:eastAsiaTheme="majorEastAsia"/>
                <w:sz w:val="20"/>
              </w:rPr>
            </w:pPr>
            <w:r>
              <w:rPr>
                <w:rFonts w:hint="eastAsia"/>
                <w:sz w:val="20"/>
              </w:rPr>
              <w:t>背景（データヘルス計画との関係性・健康課題・計画での位置づけ）</w:t>
            </w:r>
          </w:p>
        </w:tc>
        <w:tc>
          <w:tcPr>
            <w:tcW w:w="20460" w:type="dxa"/>
            <w:gridSpan w:val="9"/>
            <w:vAlign w:val="top"/>
          </w:tcPr>
          <w:p>
            <w:pPr>
              <w:pStyle w:val="0"/>
              <w:rPr>
                <w:rFonts w:hint="eastAsia"/>
              </w:rPr>
            </w:pPr>
            <w:r>
              <w:rPr>
                <w:rFonts w:hint="eastAsia"/>
              </w:rPr>
              <w:t>令和</w:t>
            </w:r>
            <w:r>
              <w:rPr>
                <w:rFonts w:hint="eastAsia"/>
              </w:rPr>
              <w:t>2</w:t>
            </w:r>
            <w:r>
              <w:rPr>
                <w:rFonts w:hint="eastAsia"/>
              </w:rPr>
              <w:t>年度に実施した健診未受診者理由アンケートでは、</w:t>
            </w:r>
          </w:p>
          <w:p>
            <w:pPr>
              <w:pStyle w:val="0"/>
              <w:rPr>
                <w:rFonts w:hint="eastAsia"/>
              </w:rPr>
            </w:pPr>
            <w:r>
              <w:rPr>
                <w:rFonts w:hint="eastAsia"/>
              </w:rPr>
              <w:t>送付件数　</w:t>
            </w:r>
            <w:r>
              <w:rPr>
                <w:rFonts w:hint="eastAsia"/>
              </w:rPr>
              <w:t>2,685</w:t>
            </w:r>
            <w:r>
              <w:rPr>
                <w:rFonts w:hint="eastAsia"/>
              </w:rPr>
              <w:t>件　うち健診申込み件数　</w:t>
            </w:r>
            <w:r>
              <w:rPr>
                <w:rFonts w:hint="eastAsia"/>
              </w:rPr>
              <w:t>258</w:t>
            </w:r>
            <w:r>
              <w:rPr>
                <w:rFonts w:hint="eastAsia"/>
              </w:rPr>
              <w:t>件、　未受診理由回答数　</w:t>
            </w:r>
            <w:r>
              <w:rPr>
                <w:rFonts w:hint="eastAsia"/>
              </w:rPr>
              <w:t>334</w:t>
            </w:r>
            <w:r>
              <w:rPr>
                <w:rFonts w:hint="eastAsia"/>
              </w:rPr>
              <w:t>件</w:t>
            </w:r>
          </w:p>
          <w:p>
            <w:pPr>
              <w:pStyle w:val="0"/>
              <w:rPr>
                <w:rFonts w:hint="eastAsia"/>
              </w:rPr>
            </w:pPr>
            <w:r>
              <w:rPr>
                <w:rFonts w:hint="eastAsia"/>
              </w:rPr>
              <w:t>未受診理由内訳</w:t>
            </w:r>
          </w:p>
          <w:p>
            <w:pPr>
              <w:pStyle w:val="0"/>
              <w:rPr>
                <w:rFonts w:hint="eastAsia"/>
              </w:rPr>
            </w:pPr>
            <w:r>
              <w:rPr>
                <w:rFonts w:hint="eastAsia"/>
              </w:rPr>
              <w:t>１　通院中で必要に応じ検査してもらっている　</w:t>
            </w:r>
            <w:r>
              <w:rPr>
                <w:rFonts w:hint="eastAsia"/>
              </w:rPr>
              <w:t>204</w:t>
            </w:r>
            <w:r>
              <w:rPr>
                <w:rFonts w:hint="eastAsia"/>
              </w:rPr>
              <w:t>件　</w:t>
            </w:r>
            <w:r>
              <w:rPr>
                <w:rFonts w:hint="eastAsia"/>
              </w:rPr>
              <w:t>53.4</w:t>
            </w:r>
            <w:r>
              <w:rPr>
                <w:rFonts w:hint="eastAsia"/>
              </w:rPr>
              <w:t>％</w:t>
            </w:r>
          </w:p>
          <w:p>
            <w:pPr>
              <w:pStyle w:val="0"/>
              <w:rPr>
                <w:rFonts w:hint="eastAsia"/>
              </w:rPr>
            </w:pPr>
            <w:r>
              <w:rPr>
                <w:rFonts w:hint="eastAsia"/>
              </w:rPr>
              <w:t>２　職場の健診や人間ドックを受けている</w:t>
            </w:r>
            <w:r>
              <w:rPr>
                <w:rFonts w:hint="eastAsia"/>
              </w:rPr>
              <w:t xml:space="preserve"> </w:t>
            </w:r>
            <w:r>
              <w:rPr>
                <w:rFonts w:hint="eastAsia"/>
              </w:rPr>
              <w:t>　　　</w:t>
            </w:r>
            <w:r>
              <w:rPr>
                <w:rFonts w:hint="eastAsia"/>
              </w:rPr>
              <w:t>70</w:t>
            </w:r>
            <w:r>
              <w:rPr>
                <w:rFonts w:hint="eastAsia"/>
              </w:rPr>
              <w:t>件　</w:t>
            </w:r>
            <w:r>
              <w:rPr>
                <w:rFonts w:hint="eastAsia"/>
              </w:rPr>
              <w:t>18.3</w:t>
            </w:r>
            <w:r>
              <w:rPr>
                <w:rFonts w:hint="eastAsia"/>
              </w:rPr>
              <w:t>％</w:t>
            </w:r>
          </w:p>
          <w:p>
            <w:pPr>
              <w:pStyle w:val="0"/>
              <w:rPr>
                <w:rFonts w:hint="eastAsia"/>
              </w:rPr>
            </w:pPr>
            <w:r>
              <w:rPr>
                <w:rFonts w:hint="eastAsia"/>
              </w:rPr>
              <w:t>３　コロナウイルス感染症への感染が怖い　　　</w:t>
            </w:r>
            <w:r>
              <w:rPr>
                <w:rFonts w:hint="eastAsia"/>
              </w:rPr>
              <w:t xml:space="preserve"> 52</w:t>
            </w:r>
            <w:r>
              <w:rPr>
                <w:rFonts w:hint="eastAsia"/>
              </w:rPr>
              <w:t>件　</w:t>
            </w:r>
            <w:r>
              <w:rPr>
                <w:rFonts w:hint="eastAsia"/>
              </w:rPr>
              <w:t>13.6</w:t>
            </w:r>
            <w:r>
              <w:rPr>
                <w:rFonts w:hint="eastAsia"/>
              </w:rPr>
              <w:t>％</w:t>
            </w:r>
          </w:p>
          <w:p>
            <w:pPr>
              <w:pStyle w:val="0"/>
              <w:rPr>
                <w:rFonts w:hint="eastAsia"/>
              </w:rPr>
            </w:pPr>
            <w:r>
              <w:rPr>
                <w:rFonts w:hint="eastAsia"/>
              </w:rPr>
              <w:t>４　健康なので必要ない　　　　　　　　　　　</w:t>
            </w:r>
            <w:r>
              <w:rPr>
                <w:rFonts w:hint="eastAsia"/>
              </w:rPr>
              <w:t xml:space="preserve"> 25</w:t>
            </w:r>
            <w:r>
              <w:rPr>
                <w:rFonts w:hint="eastAsia"/>
              </w:rPr>
              <w:t>件　</w:t>
            </w:r>
            <w:r>
              <w:rPr>
                <w:rFonts w:hint="eastAsia"/>
              </w:rPr>
              <w:t xml:space="preserve"> 6.5</w:t>
            </w:r>
            <w:r>
              <w:rPr>
                <w:rFonts w:hint="eastAsia"/>
              </w:rPr>
              <w:t>％</w:t>
            </w:r>
          </w:p>
          <w:p>
            <w:pPr>
              <w:pStyle w:val="0"/>
              <w:rPr>
                <w:rFonts w:hint="eastAsia"/>
              </w:rPr>
            </w:pPr>
            <w:r>
              <w:rPr>
                <w:rFonts w:hint="eastAsia"/>
              </w:rPr>
              <w:t>等となっており、受診中の割合が半数を超えている。また、以前の健診で正常（受診勧奨値以下）で毎年受ける必要がないと思っている人がいる。</w:t>
            </w:r>
          </w:p>
          <w:p>
            <w:pPr>
              <w:pStyle w:val="0"/>
              <w:rPr>
                <w:rFonts w:hint="default"/>
              </w:rPr>
            </w:pPr>
            <w:r>
              <w:rPr>
                <w:rFonts w:hint="eastAsia"/>
              </w:rPr>
              <w:t>参考：令和元年度健診時に</w:t>
            </w:r>
            <w:r>
              <w:rPr>
                <w:rFonts w:hint="eastAsia"/>
              </w:rPr>
              <w:t>HbA1</w:t>
            </w:r>
            <w:r>
              <w:rPr>
                <w:rFonts w:hint="eastAsia"/>
              </w:rPr>
              <w:t>ｃ</w:t>
            </w:r>
            <w:r>
              <w:rPr>
                <w:rFonts w:hint="eastAsia"/>
              </w:rPr>
              <w:t>6.5</w:t>
            </w:r>
            <w:r>
              <w:rPr>
                <w:rFonts w:hint="eastAsia"/>
              </w:rPr>
              <w:t>以下だった人のうち令和</w:t>
            </w:r>
            <w:r>
              <w:rPr>
                <w:rFonts w:hint="eastAsia"/>
              </w:rPr>
              <w:t>2</w:t>
            </w:r>
            <w:r>
              <w:rPr>
                <w:rFonts w:hint="eastAsia"/>
              </w:rPr>
              <w:t>年度健診で受診勧奨値を超えた人　</w:t>
            </w:r>
            <w:r>
              <w:rPr>
                <w:rFonts w:hint="eastAsia"/>
              </w:rPr>
              <w:t>64</w:t>
            </w:r>
            <w:r>
              <w:rPr>
                <w:rFonts w:hint="eastAsia"/>
              </w:rPr>
              <w:t>人（うち</w:t>
            </w:r>
            <w:r>
              <w:rPr>
                <w:rFonts w:hint="eastAsia"/>
              </w:rPr>
              <w:t>1</w:t>
            </w:r>
            <w:r>
              <w:rPr>
                <w:rFonts w:hint="eastAsia"/>
              </w:rPr>
              <w:t>人は</w:t>
            </w:r>
            <w:r>
              <w:rPr>
                <w:rFonts w:hint="eastAsia"/>
              </w:rPr>
              <w:t>5.4</w:t>
            </w:r>
            <w:r>
              <w:rPr>
                <w:rFonts w:hint="eastAsia"/>
              </w:rPr>
              <w:t>以下から</w:t>
            </w:r>
            <w:r>
              <w:rPr>
                <w:rFonts w:hint="eastAsia"/>
              </w:rPr>
              <w:t>6.5</w:t>
            </w:r>
            <w:r>
              <w:rPr>
                <w:rFonts w:hint="eastAsia"/>
              </w:rPr>
              <w:t>以上に上昇）</w:t>
            </w:r>
          </w:p>
          <w:p>
            <w:pPr>
              <w:pStyle w:val="0"/>
              <w:rPr>
                <w:rFonts w:hint="default"/>
              </w:rPr>
            </w:pPr>
            <w:r>
              <w:rPr>
                <w:rFonts w:hint="eastAsia"/>
              </w:rPr>
              <w:t>通院中の人や、以前の健診で正常（受診勧奨値以下）で毎年受ける必要がないと思っている人に特定健診受診の必要性を知ってもらう必要がある。</w:t>
            </w:r>
          </w:p>
        </w:tc>
      </w:tr>
      <w:tr>
        <w:trPr>
          <w:trHeight w:val="308"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20460" w:type="dxa"/>
            <w:gridSpan w:val="9"/>
            <w:vAlign w:val="top"/>
          </w:tcPr>
          <w:p>
            <w:pPr>
              <w:pStyle w:val="0"/>
              <w:rPr>
                <w:rFonts w:hint="default"/>
              </w:rPr>
            </w:pPr>
            <w:r>
              <w:rPr>
                <w:rFonts w:hint="eastAsia"/>
              </w:rPr>
              <w:t>健診受診歴、所見有無及び医療機関受診有無によりパターン分けし、より個別性の高い通知を行うことで健診の受診につなげる。</w:t>
            </w:r>
          </w:p>
        </w:tc>
      </w:tr>
      <w:tr>
        <w:trPr>
          <w:trHeight w:val="814"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対象者</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周知・募集方法</w:t>
            </w:r>
          </w:p>
        </w:tc>
        <w:tc>
          <w:tcPr>
            <w:tcW w:w="20460" w:type="dxa"/>
            <w:gridSpan w:val="9"/>
            <w:vAlign w:val="top"/>
          </w:tcPr>
          <w:p>
            <w:pPr>
              <w:pStyle w:val="0"/>
              <w:rPr>
                <w:rFonts w:hint="default"/>
              </w:rPr>
            </w:pPr>
            <w:r>
              <w:rPr>
                <w:rFonts w:hint="eastAsia"/>
              </w:rPr>
              <w:t>令和</w:t>
            </w:r>
            <w:r>
              <w:rPr>
                <w:rFonts w:hint="eastAsia"/>
              </w:rPr>
              <w:t>3</w:t>
            </w:r>
            <w:r>
              <w:rPr>
                <w:rFonts w:hint="eastAsia"/>
              </w:rPr>
              <w:t>年度特定健診の申込みをしていない人</w:t>
            </w:r>
          </w:p>
        </w:tc>
      </w:tr>
      <w:tr>
        <w:trPr>
          <w:trHeight w:val="1148" w:hRule="atLeast"/>
        </w:trPr>
        <w:tc>
          <w:tcPr>
            <w:tcW w:w="442" w:type="dxa"/>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事業内容</w:t>
            </w:r>
          </w:p>
        </w:tc>
        <w:tc>
          <w:tcPr>
            <w:tcW w:w="1486" w:type="dxa"/>
            <w:gridSpan w:val="2"/>
            <w:vAlign w:val="top"/>
          </w:tcPr>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実施期間</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実施日時</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実施場所</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内容</w:t>
            </w:r>
          </w:p>
        </w:tc>
        <w:tc>
          <w:tcPr>
            <w:tcW w:w="20460" w:type="dxa"/>
            <w:gridSpan w:val="9"/>
            <w:vAlign w:val="top"/>
          </w:tcPr>
          <w:p>
            <w:pPr>
              <w:pStyle w:val="0"/>
              <w:rPr>
                <w:rFonts w:hint="default"/>
              </w:rPr>
            </w:pPr>
            <w:r>
              <w:rPr>
                <w:rFonts w:hint="eastAsia"/>
              </w:rPr>
              <w:t>令和</w:t>
            </w:r>
            <w:r>
              <w:rPr>
                <w:rFonts w:hint="eastAsia"/>
              </w:rPr>
              <w:t>3</w:t>
            </w:r>
            <w:r>
              <w:rPr>
                <w:rFonts w:hint="eastAsia"/>
              </w:rPr>
              <w:t>年</w:t>
            </w:r>
            <w:r>
              <w:rPr>
                <w:rFonts w:hint="eastAsia"/>
              </w:rPr>
              <w:t>6</w:t>
            </w:r>
            <w:r>
              <w:rPr>
                <w:rFonts w:hint="eastAsia"/>
              </w:rPr>
              <w:t>月</w:t>
            </w:r>
          </w:p>
          <w:p>
            <w:pPr>
              <w:pStyle w:val="0"/>
              <w:rPr>
                <w:rFonts w:hint="default"/>
              </w:rPr>
            </w:pPr>
            <w:r>
              <w:rPr>
                <w:rFonts w:hint="eastAsia"/>
              </w:rPr>
              <w:t>健診受診歴、所見有無及び医療機関受診有無によりパターン分けした通知を送付する。</w:t>
            </w:r>
          </w:p>
        </w:tc>
      </w:tr>
      <w:tr>
        <w:trPr>
          <w:trHeight w:val="794" w:hRule="atLeast"/>
        </w:trPr>
        <w:tc>
          <w:tcPr>
            <w:tcW w:w="442" w:type="dxa"/>
            <w:vMerge w:val="continue"/>
            <w:vAlign w:val="top"/>
          </w:tcPr>
          <w:p>
            <w:pPr>
              <w:pStyle w:val="0"/>
              <w:rPr>
                <w:rFonts w:hint="default" w:asciiTheme="majorEastAsia" w:hAnsiTheme="majorEastAsia" w:eastAsiaTheme="majorEastAsia"/>
                <w:sz w:val="20"/>
              </w:rPr>
            </w:pPr>
          </w:p>
        </w:tc>
        <w:tc>
          <w:tcPr>
            <w:tcW w:w="1486" w:type="dxa"/>
            <w:gridSpan w:val="2"/>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実施体制</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（従事者・担当ごとの役割等）</w:t>
            </w:r>
          </w:p>
        </w:tc>
        <w:tc>
          <w:tcPr>
            <w:tcW w:w="20460" w:type="dxa"/>
            <w:gridSpan w:val="9"/>
            <w:vAlign w:val="top"/>
          </w:tcPr>
          <w:p>
            <w:pPr>
              <w:pStyle w:val="0"/>
              <w:rPr>
                <w:rFonts w:hint="default"/>
              </w:rPr>
            </w:pPr>
            <w:r>
              <w:rPr>
                <w:rFonts w:hint="eastAsia"/>
              </w:rPr>
              <w:t>・保険医療課：事務</w:t>
            </w:r>
            <w:r>
              <w:rPr>
                <w:rFonts w:hint="eastAsia"/>
              </w:rPr>
              <w:t>1</w:t>
            </w:r>
            <w:r>
              <w:rPr>
                <w:rFonts w:hint="eastAsia"/>
              </w:rPr>
              <w:t>名、保健師</w:t>
            </w:r>
            <w:r>
              <w:rPr>
                <w:rFonts w:hint="eastAsia"/>
              </w:rPr>
              <w:t>1</w:t>
            </w:r>
            <w:r>
              <w:rPr>
                <w:rFonts w:hint="eastAsia"/>
              </w:rPr>
              <w:t>名（通知発送等管理）</w:t>
            </w:r>
          </w:p>
          <w:p>
            <w:pPr>
              <w:pStyle w:val="0"/>
              <w:rPr>
                <w:rFonts w:hint="default"/>
              </w:rPr>
            </w:pPr>
            <w:r>
              <w:rPr>
                <w:rFonts w:hint="eastAsia"/>
              </w:rPr>
              <w:t>・株式会社</w:t>
            </w:r>
            <w:r>
              <w:rPr>
                <w:rFonts w:hint="eastAsia"/>
              </w:rPr>
              <w:t>JMDC</w:t>
            </w:r>
            <w:r>
              <w:rPr>
                <w:rFonts w:hint="eastAsia"/>
              </w:rPr>
              <w:t>：対象者抽出、通知作成</w:t>
            </w:r>
          </w:p>
        </w:tc>
      </w:tr>
      <w:tr>
        <w:trPr>
          <w:trHeight w:val="308" w:hRule="atLeast"/>
        </w:trPr>
        <w:tc>
          <w:tcPr>
            <w:tcW w:w="1928" w:type="dxa"/>
            <w:gridSpan w:val="3"/>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今年度の重点目標</w:t>
            </w:r>
          </w:p>
        </w:tc>
        <w:tc>
          <w:tcPr>
            <w:tcW w:w="8406"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center"/>
          </w:tcPr>
          <w:p>
            <w:pPr>
              <w:pStyle w:val="0"/>
              <w:jc w:val="both"/>
              <w:rPr>
                <w:rFonts w:hint="default"/>
              </w:rPr>
            </w:pPr>
            <w:r>
              <w:rPr>
                <w:rFonts w:hint="eastAsia"/>
              </w:rPr>
              <w:t>発送者のうち、１５％が特定健診を受診する。</w:t>
            </w:r>
          </w:p>
        </w:tc>
        <w:tc>
          <w:tcPr>
            <w:tcW w:w="1852" w:type="dxa"/>
            <w:tcBorders>
              <w:top w:val="single" w:color="2E74B4" w:themeColor="accent1" w:themeShade="BF" w:sz="18" w:space="0"/>
              <w:left w:val="single" w:color="2E74B4" w:themeColor="accent1" w:themeShade="BF" w:sz="18"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ajorEastAsia" w:hAnsiTheme="majorEastAsia" w:eastAsiaTheme="majorEastAsia"/>
              </w:rPr>
            </w:pPr>
            <w:r>
              <w:rPr>
                <w:rFonts w:hint="eastAsia" w:asciiTheme="majorEastAsia" w:hAnsiTheme="majorEastAsia" w:eastAsiaTheme="majorEastAsia"/>
              </w:rPr>
              <w:t>重点目標に対する実施後の評価</w:t>
            </w:r>
          </w:p>
        </w:tc>
        <w:tc>
          <w:tcPr>
            <w:tcW w:w="10202" w:type="dxa"/>
            <w:gridSpan w:val="5"/>
            <w:tcBorders>
              <w:top w:val="single" w:color="2E74B4" w:themeColor="accent1" w:themeShade="BF" w:sz="18" w:space="0"/>
              <w:left w:val="single" w:color="auto" w:sz="4" w:space="0"/>
              <w:bottom w:val="none" w:color="auto" w:sz="0" w:space="0"/>
              <w:right w:val="single" w:color="2E74B4" w:themeColor="accent1" w:themeShade="BF" w:sz="18" w:space="0"/>
              <w:tl2br w:val="none" w:color="auto" w:sz="0" w:space="0"/>
              <w:tr2bl w:val="none" w:color="auto" w:sz="0" w:space="0"/>
            </w:tcBorders>
            <w:vAlign w:val="top"/>
          </w:tcPr>
          <w:p>
            <w:pPr>
              <w:pStyle w:val="0"/>
              <w:widowControl w:val="1"/>
              <w:jc w:val="left"/>
              <w:rPr>
                <w:rFonts w:hint="default"/>
              </w:rPr>
            </w:pPr>
            <w:r>
              <w:rPr>
                <w:rFonts w:hint="eastAsia"/>
              </w:rPr>
              <w:t>R4.3</w:t>
            </w:r>
            <w:r>
              <w:rPr>
                <w:rFonts w:hint="eastAsia"/>
              </w:rPr>
              <w:t>月時点で、発送者のうち受診者が何人であったか確認する。</w:t>
            </w:r>
          </w:p>
          <w:p>
            <w:pPr>
              <w:pStyle w:val="0"/>
              <w:rPr>
                <w:rFonts w:hint="default"/>
              </w:rPr>
            </w:pPr>
          </w:p>
        </w:tc>
      </w:tr>
      <w:tr>
        <w:trPr>
          <w:trHeight w:val="360" w:hRule="atLeast"/>
        </w:trPr>
        <w:tc>
          <w:tcPr>
            <w:tcW w:w="482" w:type="dxa"/>
            <w:gridSpan w:val="2"/>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目標</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評価指標</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c>
          <w:tcPr>
            <w:tcW w:w="1446" w:type="dxa"/>
            <w:vMerge w:val="restart"/>
            <w:vAlign w:val="top"/>
          </w:tcPr>
          <w:p>
            <w:pPr>
              <w:pStyle w:val="0"/>
              <w:widowControl w:val="1"/>
              <w:jc w:val="left"/>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区分</w:t>
            </w:r>
          </w:p>
        </w:tc>
        <w:tc>
          <w:tcPr>
            <w:tcW w:w="8406"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ind w:firstLine="2940" w:firstLineChars="1400"/>
              <w:rPr>
                <w:rFonts w:hint="default" w:asciiTheme="majorEastAsia" w:hAnsiTheme="majorEastAsia" w:eastAsiaTheme="majorEastAsia"/>
              </w:rPr>
            </w:pPr>
            <w:r>
              <w:rPr>
                <w:rFonts w:hint="eastAsia" w:asciiTheme="majorEastAsia" w:hAnsiTheme="majorEastAsia" w:eastAsiaTheme="majorEastAsia"/>
              </w:rPr>
              <w:t>事　業　計　画</w:t>
            </w:r>
          </w:p>
        </w:tc>
        <w:tc>
          <w:tcPr>
            <w:tcW w:w="12054" w:type="dxa"/>
            <w:gridSpan w:val="6"/>
            <w:tcBorders>
              <w:top w:val="none" w:color="auto" w:sz="0" w:space="0"/>
              <w:left w:val="single" w:color="2E74B4" w:themeColor="accent1" w:themeShade="BF" w:sz="18"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実施後の評価</w:t>
            </w:r>
            <w:r>
              <w:rPr>
                <w:rFonts w:hint="eastAsia" w:asciiTheme="majorEastAsia" w:hAnsiTheme="majorEastAsia" w:eastAsiaTheme="majorEastAsia"/>
                <w:sz w:val="20"/>
              </w:rPr>
              <w:t>（＊達成度　Ａ：目標達成　Ｂ：目標達成していないが改善　Ｃ：変化なし　Ｄ：悪化　Ｅ：判定不能）</w:t>
            </w:r>
          </w:p>
        </w:tc>
      </w:tr>
      <w:tr>
        <w:trPr>
          <w:trHeight w:val="501"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widowControl w:val="1"/>
              <w:jc w:val="left"/>
              <w:rPr>
                <w:rFonts w:hint="default" w:asciiTheme="majorEastAsia" w:hAnsiTheme="majorEastAsia" w:eastAsiaTheme="majorEastAsia"/>
                <w:sz w:val="20"/>
              </w:rPr>
            </w:pPr>
          </w:p>
        </w:tc>
        <w:tc>
          <w:tcPr>
            <w:tcW w:w="4357" w:type="dxa"/>
            <w:vAlign w:val="top"/>
          </w:tcPr>
          <w:p>
            <w:pPr>
              <w:pStyle w:val="0"/>
              <w:ind w:firstLine="800" w:firstLineChars="400"/>
              <w:rPr>
                <w:rFonts w:hint="default" w:asciiTheme="majorEastAsia" w:hAnsiTheme="majorEastAsia" w:eastAsiaTheme="majorEastAsia"/>
                <w:sz w:val="20"/>
              </w:rPr>
            </w:pPr>
            <w:r>
              <w:rPr>
                <w:rFonts w:hint="eastAsia" w:asciiTheme="majorEastAsia" w:hAnsiTheme="majorEastAsia" w:eastAsiaTheme="majorEastAsia"/>
                <w:sz w:val="20"/>
              </w:rPr>
              <w:t>指標（事業番号ごとに設定）</w:t>
            </w:r>
          </w:p>
        </w:tc>
        <w:tc>
          <w:tcPr>
            <w:tcW w:w="1528"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目標値</w:t>
            </w:r>
          </w:p>
        </w:tc>
        <w:tc>
          <w:tcPr>
            <w:tcW w:w="2521"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評価（データ入手方法・</w:t>
            </w:r>
          </w:p>
          <w:p>
            <w:pPr>
              <w:pStyle w:val="0"/>
              <w:rPr>
                <w:rFonts w:hint="default" w:asciiTheme="majorEastAsia" w:hAnsiTheme="majorEastAsia" w:eastAsiaTheme="majorEastAsia"/>
              </w:rPr>
            </w:pPr>
            <w:r>
              <w:rPr>
                <w:rFonts w:hint="eastAsia" w:asciiTheme="majorEastAsia" w:hAnsiTheme="majorEastAsia" w:eastAsiaTheme="majorEastAsia"/>
              </w:rPr>
              <w:t>入手先・時期）</w:t>
            </w:r>
          </w:p>
        </w:tc>
        <w:tc>
          <w:tcPr>
            <w:tcW w:w="4799" w:type="dxa"/>
            <w:gridSpan w:val="2"/>
            <w:tcBorders>
              <w:top w:val="none" w:color="auto" w:sz="0" w:space="0"/>
              <w:left w:val="single" w:color="2E74B4" w:themeColor="accent1" w:themeShade="BF" w:sz="18" w:space="0"/>
              <w:bottom w:val="none" w:color="auto" w:sz="0" w:space="0"/>
              <w:right w:val="none" w:color="auto" w:sz="0" w:space="0"/>
              <w:tl2br w:val="none" w:color="auto" w:sz="0" w:space="0"/>
              <w:tr2bl w:val="none" w:color="auto" w:sz="0" w:space="0"/>
            </w:tcBorders>
            <w:vAlign w:val="top"/>
          </w:tcPr>
          <w:p>
            <w:pPr>
              <w:pStyle w:val="0"/>
              <w:ind w:firstLine="1470" w:firstLineChars="700"/>
              <w:rPr>
                <w:rFonts w:hint="default" w:asciiTheme="majorEastAsia" w:hAnsiTheme="majorEastAsia" w:eastAsiaTheme="majorEastAsia"/>
              </w:rPr>
            </w:pPr>
            <w:r>
              <w:rPr>
                <w:rFonts w:hint="eastAsia" w:asciiTheme="majorEastAsia" w:hAnsiTheme="majorEastAsia" w:eastAsiaTheme="majorEastAsia"/>
              </w:rPr>
              <w:t>指標の評価結果</w:t>
            </w:r>
          </w:p>
        </w:tc>
        <w:tc>
          <w:tcPr>
            <w:tcW w:w="1233"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達成度＊</w:t>
            </w:r>
          </w:p>
        </w:tc>
        <w:tc>
          <w:tcPr>
            <w:tcW w:w="1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成功・推進要因</w:t>
            </w:r>
          </w:p>
        </w:tc>
        <w:tc>
          <w:tcPr>
            <w:tcW w:w="1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課題・阻害要因</w:t>
            </w:r>
          </w:p>
        </w:tc>
        <w:tc>
          <w:tcPr>
            <w:tcW w:w="2609"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全体評価・今後の方向性</w:t>
            </w:r>
          </w:p>
        </w:tc>
      </w:tr>
      <w:tr>
        <w:trPr>
          <w:trHeight w:val="710"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Align w:val="top"/>
          </w:tcPr>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ストラク</w:t>
            </w:r>
          </w:p>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チャー</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適切な委託業者を選定する</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適切な委託業者を選定する</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tabs>
                <w:tab w:val="left" w:leader="none" w:pos="435"/>
              </w:tabs>
              <w:rPr>
                <w:rFonts w:hint="default"/>
              </w:rPr>
            </w:pPr>
            <w:r>
              <w:rPr>
                <w:rFonts w:hint="eastAsia"/>
              </w:rPr>
              <w:t>適切に選定した</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vMerge w:val="restar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専門業者に委託したことで、対象者の状況におうじ詳細な分類をすることができた。</w:t>
            </w:r>
          </w:p>
        </w:tc>
        <w:tc>
          <w:tcPr>
            <w:tcW w:w="1691" w:type="dxa"/>
            <w:vAlign w:val="top"/>
          </w:tcPr>
          <w:p>
            <w:pPr>
              <w:pStyle w:val="0"/>
              <w:rPr>
                <w:rFonts w:hint="default"/>
              </w:rPr>
            </w:pPr>
          </w:p>
        </w:tc>
        <w:tc>
          <w:tcPr>
            <w:tcW w:w="2609" w:type="dxa"/>
            <w:vMerge w:val="restart"/>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申込者のうち</w:t>
            </w:r>
            <w:r>
              <w:rPr>
                <w:rFonts w:hint="eastAsia"/>
              </w:rPr>
              <w:t>48</w:t>
            </w:r>
            <w:r>
              <w:rPr>
                <w:rFonts w:hint="eastAsia"/>
              </w:rPr>
              <w:t>％（</w:t>
            </w:r>
            <w:r>
              <w:rPr>
                <w:rFonts w:hint="eastAsia"/>
              </w:rPr>
              <w:t>46</w:t>
            </w:r>
            <w:r>
              <w:rPr>
                <w:rFonts w:hint="eastAsia"/>
              </w:rPr>
              <w:t>件）が未受診者アンケートで課題となっていた通院中の人であったことから、通知の効果があったと考えられる。</w:t>
            </w:r>
          </w:p>
          <w:p>
            <w:pPr>
              <w:pStyle w:val="0"/>
              <w:rPr>
                <w:rFonts w:hint="default"/>
              </w:rPr>
            </w:pPr>
            <w:r>
              <w:rPr>
                <w:rFonts w:hint="eastAsia"/>
              </w:rPr>
              <w:t>今年度は健診日程の終了間際での申込みが多く、予約が取りきれなかったことから、</w:t>
            </w:r>
            <w:r>
              <w:rPr>
                <w:rFonts w:hint="eastAsia"/>
              </w:rPr>
              <w:t>R4.1</w:t>
            </w:r>
            <w:r>
              <w:rPr>
                <w:rFonts w:hint="eastAsia"/>
              </w:rPr>
              <w:t>月及び</w:t>
            </w:r>
            <w:r>
              <w:rPr>
                <w:rFonts w:hint="eastAsia"/>
              </w:rPr>
              <w:t>2</w:t>
            </w:r>
            <w:r>
              <w:rPr>
                <w:rFonts w:hint="eastAsia"/>
              </w:rPr>
              <w:t>月に追加日程で特定健診を実施し</w:t>
            </w:r>
            <w:r>
              <w:rPr>
                <w:rFonts w:hint="eastAsia"/>
              </w:rPr>
              <w:t>た。</w:t>
            </w:r>
          </w:p>
          <w:p>
            <w:pPr>
              <w:pStyle w:val="0"/>
              <w:rPr>
                <w:rFonts w:hint="default"/>
              </w:rPr>
            </w:pPr>
            <w:r>
              <w:rPr>
                <w:rFonts w:hint="eastAsia"/>
              </w:rPr>
              <w:t>今後も、個人の状況に応じてパターン分けした受診勧奨を行うことに加え、被保険者が受診できる健診日程の確保が必要である。</w:t>
            </w: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プロセス</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対象者の適切な分類</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対象者を適切に分類する</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過去の特定健診受診歴、所見有無及び医療機関受診有無により</w:t>
            </w:r>
            <w:r>
              <w:rPr>
                <w:rFonts w:hint="eastAsia"/>
              </w:rPr>
              <w:t>6</w:t>
            </w:r>
            <w:r>
              <w:rPr>
                <w:rFonts w:hint="eastAsia"/>
              </w:rPr>
              <w:t>パターンに分けて抽出した。</w:t>
            </w:r>
          </w:p>
          <w:p>
            <w:pPr>
              <w:pStyle w:val="0"/>
              <w:rPr>
                <w:rFonts w:hint="default"/>
              </w:rPr>
            </w:pP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eastAsia"/>
              </w:rPr>
            </w:pPr>
          </w:p>
        </w:tc>
        <w:tc>
          <w:tcPr>
            <w:tcW w:w="1446" w:type="dxa"/>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アウトプット</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対象者への通知発送率</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１００％</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事業終了時</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未申込者全員に通知した（</w:t>
            </w:r>
            <w:r>
              <w:rPr>
                <w:rFonts w:hint="eastAsia"/>
              </w:rPr>
              <w:t>100</w:t>
            </w:r>
            <w:r>
              <w:rPr>
                <w:rFonts w:hint="eastAsia"/>
              </w:rPr>
              <w:t>％）</w:t>
            </w:r>
          </w:p>
          <w:p>
            <w:pPr>
              <w:pStyle w:val="0"/>
              <w:rPr>
                <w:rFonts w:hint="default"/>
              </w:rPr>
            </w:pPr>
          </w:p>
          <w:p>
            <w:pPr>
              <w:pStyle w:val="0"/>
              <w:rPr>
                <w:rFonts w:hint="default"/>
              </w:rPr>
            </w:pP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bookmarkStart w:id="0" w:name="_GoBack"/>
            <w:bookmarkEnd w:id="0"/>
          </w:p>
        </w:tc>
        <w:tc>
          <w:tcPr>
            <w:tcW w:w="1691" w:type="dxa"/>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567" w:hRule="atLeast"/>
        </w:trPr>
        <w:tc>
          <w:tcPr>
            <w:tcW w:w="482" w:type="dxa"/>
            <w:gridSpan w:val="2"/>
            <w:vMerge w:val="continue"/>
            <w:vAlign w:val="top"/>
          </w:tcPr>
          <w:p>
            <w:pPr>
              <w:pStyle w:val="0"/>
              <w:rPr>
                <w:rFonts w:hint="eastAsia"/>
              </w:rPr>
            </w:pPr>
          </w:p>
        </w:tc>
        <w:tc>
          <w:tcPr>
            <w:tcW w:w="1446" w:type="dxa"/>
            <w:vMerge w:val="restart"/>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アウトカム</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発送者のうち、健診申込者の割合</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１８％</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3</w:t>
            </w:r>
            <w:r>
              <w:rPr>
                <w:rFonts w:hint="eastAsia"/>
              </w:rPr>
              <w:t>月</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4.2</w:t>
            </w:r>
            <w:r>
              <w:rPr>
                <w:rFonts w:hint="eastAsia"/>
                <w:color w:val="auto"/>
              </w:rPr>
              <w:t>％（申込件数</w:t>
            </w:r>
            <w:r>
              <w:rPr>
                <w:rFonts w:hint="eastAsia"/>
                <w:color w:val="auto"/>
              </w:rPr>
              <w:t>96</w:t>
            </w:r>
            <w:r>
              <w:rPr>
                <w:rFonts w:hint="eastAsia"/>
                <w:color w:val="auto"/>
              </w:rPr>
              <w:t>件</w:t>
            </w:r>
            <w:r>
              <w:rPr>
                <w:rFonts w:hint="eastAsia"/>
                <w:color w:val="auto"/>
              </w:rPr>
              <w:t>/</w:t>
            </w:r>
            <w:r>
              <w:rPr>
                <w:rFonts w:hint="eastAsia"/>
                <w:color w:val="auto"/>
              </w:rPr>
              <w:t>通知件数</w:t>
            </w:r>
            <w:r>
              <w:rPr>
                <w:rFonts w:hint="eastAsia"/>
                <w:color w:val="auto"/>
              </w:rPr>
              <w:t>2,302</w:t>
            </w:r>
            <w:r>
              <w:rPr>
                <w:rFonts w:hint="eastAsia"/>
                <w:color w:val="auto"/>
              </w:rPr>
              <w:t>件）</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B</w:t>
            </w:r>
          </w:p>
        </w:tc>
        <w:tc>
          <w:tcPr>
            <w:tcW w:w="17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通院中でも健診受診が必要であることを分かりやすく通知したことにより、通院中の人の申込みが増えた。</w:t>
            </w:r>
          </w:p>
        </w:tc>
        <w:tc>
          <w:tcPr>
            <w:tcW w:w="1691" w:type="dxa"/>
            <w:vMerge w:val="restart"/>
            <w:vAlign w:val="top"/>
          </w:tcPr>
          <w:p>
            <w:pPr>
              <w:pStyle w:val="0"/>
              <w:rPr>
                <w:rFonts w:hint="default"/>
              </w:rPr>
            </w:pPr>
            <w:r>
              <w:rPr>
                <w:rFonts w:hint="eastAsia"/>
              </w:rPr>
              <w:t>受診勧奨通知対象者が前年度も未受診である人に限られていたことが、健診の申込みにつながる割合が少なかった要因とも考えられる。</w:t>
            </w: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567" w:hRule="atLeast"/>
        </w:trPr>
        <w:tc>
          <w:tcPr>
            <w:tcW w:w="482" w:type="dxa"/>
            <w:gridSpan w:val="2"/>
            <w:vMerge w:val="continue"/>
            <w:vAlign w:val="top"/>
          </w:tcPr>
          <w:p>
            <w:pPr>
              <w:pStyle w:val="0"/>
              <w:rPr>
                <w:rFonts w:hint="eastAsia"/>
              </w:rPr>
            </w:pPr>
          </w:p>
        </w:tc>
        <w:tc>
          <w:tcPr>
            <w:tcW w:w="1446" w:type="dxa"/>
            <w:vMerge w:val="continue"/>
            <w:vAlign w:val="top"/>
          </w:tcPr>
          <w:p>
            <w:pPr>
              <w:pStyle w:val="0"/>
              <w:rPr>
                <w:rFonts w:hint="eastAsia"/>
              </w:rPr>
            </w:pPr>
          </w:p>
        </w:tc>
        <w:tc>
          <w:tcPr>
            <w:tcW w:w="435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発送者のうち、健診受診者の割合</w:t>
            </w:r>
          </w:p>
        </w:tc>
        <w:tc>
          <w:tcPr>
            <w:tcW w:w="152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１５％</w:t>
            </w:r>
          </w:p>
        </w:tc>
        <w:tc>
          <w:tcPr>
            <w:tcW w:w="2521" w:type="dxa"/>
            <w:tcBorders>
              <w:top w:val="dashSmallGap" w:color="auto" w:sz="4"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3</w:t>
            </w:r>
            <w:r>
              <w:rPr>
                <w:rFonts w:hint="eastAsia"/>
              </w:rPr>
              <w:t>月</w:t>
            </w:r>
          </w:p>
        </w:tc>
        <w:tc>
          <w:tcPr>
            <w:tcW w:w="4799" w:type="dxa"/>
            <w:gridSpan w:val="2"/>
            <w:tcBorders>
              <w:top w:val="dashSmallGap" w:color="auto" w:sz="4"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未評価　</w:t>
            </w:r>
            <w:r>
              <w:rPr>
                <w:rFonts w:hint="eastAsia"/>
              </w:rPr>
              <w:t>R4.3</w:t>
            </w:r>
            <w:r>
              <w:rPr>
                <w:rFonts w:hint="eastAsia"/>
              </w:rPr>
              <w:t>評価予定</w:t>
            </w:r>
          </w:p>
        </w:tc>
        <w:tc>
          <w:tcPr>
            <w:tcW w:w="12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E</w:t>
            </w:r>
          </w:p>
        </w:tc>
        <w:tc>
          <w:tcPr>
            <w:tcW w:w="17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691" w:type="dxa"/>
            <w:vMerge w:val="continue"/>
            <w:vAlign w:val="top"/>
          </w:tcPr>
          <w:p>
            <w:pPr>
              <w:pStyle w:val="0"/>
              <w:rPr>
                <w:rFonts w:hint="eastAsia"/>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567" w:hRule="atLeast"/>
        </w:trPr>
        <w:tc>
          <w:tcPr>
            <w:tcW w:w="482" w:type="dxa"/>
            <w:gridSpan w:val="2"/>
            <w:vMerge w:val="continue"/>
            <w:vAlign w:val="top"/>
          </w:tcPr>
          <w:p>
            <w:pPr>
              <w:pStyle w:val="0"/>
              <w:rPr>
                <w:rFonts w:hint="eastAsia"/>
              </w:rPr>
            </w:pPr>
          </w:p>
        </w:tc>
        <w:tc>
          <w:tcPr>
            <w:tcW w:w="1446" w:type="dxa"/>
            <w:vMerge w:val="continue"/>
            <w:vAlign w:val="top"/>
          </w:tcPr>
          <w:p>
            <w:pPr>
              <w:pStyle w:val="0"/>
              <w:rPr>
                <w:rFonts w:hint="eastAsia"/>
              </w:rPr>
            </w:pPr>
          </w:p>
        </w:tc>
        <w:tc>
          <w:tcPr>
            <w:tcW w:w="435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他健診結果の提供数</w:t>
            </w:r>
          </w:p>
        </w:tc>
        <w:tc>
          <w:tcPr>
            <w:tcW w:w="152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１５％</w:t>
            </w:r>
          </w:p>
        </w:tc>
        <w:tc>
          <w:tcPr>
            <w:tcW w:w="2521" w:type="dxa"/>
            <w:tcBorders>
              <w:top w:val="dashSmallGap" w:color="auto" w:sz="4"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eastAsia"/>
              </w:rPr>
            </w:pPr>
            <w:r>
              <w:rPr>
                <w:rFonts w:hint="eastAsia"/>
              </w:rPr>
              <w:t>3</w:t>
            </w:r>
            <w:r>
              <w:rPr>
                <w:rFonts w:hint="eastAsia"/>
              </w:rPr>
              <w:t>月</w:t>
            </w:r>
          </w:p>
        </w:tc>
        <w:tc>
          <w:tcPr>
            <w:tcW w:w="4799" w:type="dxa"/>
            <w:gridSpan w:val="2"/>
            <w:tcBorders>
              <w:top w:val="dashSmallGap" w:color="auto" w:sz="4"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R4.1</w:t>
            </w:r>
            <w:r>
              <w:rPr>
                <w:rFonts w:hint="eastAsia"/>
              </w:rPr>
              <w:t>月末時点で、</w:t>
            </w:r>
            <w:r>
              <w:rPr>
                <w:rFonts w:hint="eastAsia"/>
              </w:rPr>
              <w:t>6</w:t>
            </w:r>
            <w:r>
              <w:rPr>
                <w:rFonts w:hint="eastAsia"/>
              </w:rPr>
              <w:t>件の提供があった。</w:t>
            </w:r>
          </w:p>
        </w:tc>
        <w:tc>
          <w:tcPr>
            <w:tcW w:w="12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E</w:t>
            </w:r>
          </w:p>
        </w:tc>
        <w:tc>
          <w:tcPr>
            <w:tcW w:w="17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1691" w:type="dxa"/>
            <w:vAlign w:val="top"/>
          </w:tcPr>
          <w:p>
            <w:pPr>
              <w:pStyle w:val="0"/>
              <w:rPr>
                <w:rFonts w:hint="eastAsia"/>
              </w:rPr>
            </w:pPr>
          </w:p>
        </w:tc>
        <w:tc>
          <w:tcPr>
            <w:tcW w:w="2609"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bl>
    <w:p>
      <w:pPr>
        <w:pStyle w:val="0"/>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823595</wp:posOffset>
                </wp:positionH>
                <wp:positionV relativeFrom="paragraph">
                  <wp:posOffset>-9416415</wp:posOffset>
                </wp:positionV>
                <wp:extent cx="12433300" cy="3086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433300" cy="308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w:t>
                            </w:r>
                            <w:r>
                              <w:rPr>
                                <w:rFonts w:hint="default"/>
                                <w:b w:val="1"/>
                              </w:rPr>
                              <w:t>　　</w:t>
                            </w:r>
                            <w:r>
                              <w:rPr>
                                <w:rFonts w:hint="eastAsia"/>
                                <w:b w:val="1"/>
                              </w:rPr>
                              <w:t>長久手市</w:t>
                            </w:r>
                            <w:r>
                              <w:rPr>
                                <w:rFonts w:hint="default"/>
                                <w:b w:val="1"/>
                              </w:rPr>
                              <w:t>　　　）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741.45pt;mso-position-vertical-relative:text;mso-position-horizontal-relative:text;v-text-anchor:middle;position:absolute;height:24.3pt;mso-wrap-distance-top:0pt;width:979pt;mso-wrap-distance-left:9pt;margin-left:64.84pt;z-index:2;" o:spid="_x0000_s1026" o:allowincell="t" o:allowoverlap="t" filled="t" fillcolor="#ffffff [3201]" stroked="t" strokecolor="#000000 [3213]" strokeweight="1pt" o:spt="1">
                <v:fill/>
                <v:stroke linestyle="single" miterlimit="8" endcap="flat" dashstyle="solid" filltype="solid"/>
                <v:textbox style="layout-flow:horizontal;">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w:t>
                      </w:r>
                      <w:r>
                        <w:rPr>
                          <w:rFonts w:hint="default"/>
                          <w:b w:val="1"/>
                        </w:rPr>
                        <w:t>　　</w:t>
                      </w:r>
                      <w:r>
                        <w:rPr>
                          <w:rFonts w:hint="eastAsia"/>
                          <w:b w:val="1"/>
                        </w:rPr>
                        <w:t>長久手市</w:t>
                      </w:r>
                      <w:r>
                        <w:rPr>
                          <w:rFonts w:hint="default"/>
                          <w:b w:val="1"/>
                        </w:rPr>
                        <w:t>　　　）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v:textbox>
                <v:imagedata o:title=""/>
                <w10:wrap type="none" anchorx="text" anchory="text"/>
              </v:rect>
            </w:pict>
          </mc:Fallback>
        </mc:AlternateContent>
      </w:r>
    </w:p>
    <w:sectPr>
      <w:pgSz w:w="23814" w:h="16839" w:orient="landscape"/>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2</Pages>
  <Words>60</Words>
  <Characters>1238</Characters>
  <Application>JUST Note</Application>
  <Lines>158</Lines>
  <Paragraphs>82</Paragraphs>
  <CharactersWithSpaces>1309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河合</dc:creator>
  <cp:lastModifiedBy>下薗 のぞみ</cp:lastModifiedBy>
  <cp:lastPrinted>2022-02-04T08:29:20Z</cp:lastPrinted>
  <dcterms:created xsi:type="dcterms:W3CDTF">2021-04-01T06:43:00Z</dcterms:created>
  <dcterms:modified xsi:type="dcterms:W3CDTF">2022-02-04T08:30:20Z</dcterms:modified>
  <cp:revision>13</cp:revision>
</cp:coreProperties>
</file>