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W w:w="22388" w:type="dxa"/>
        <w:tblInd w:w="0" w:type="dxa"/>
        <w:tblLayout w:type="fixed"/>
        <w:tblLook w:firstRow="1" w:lastRow="0" w:firstColumn="1" w:lastColumn="0" w:noHBand="0" w:noVBand="1" w:val="04A0"/>
      </w:tblPr>
      <w:tblGrid>
        <w:gridCol w:w="442"/>
        <w:gridCol w:w="40"/>
        <w:gridCol w:w="1446"/>
        <w:gridCol w:w="4357"/>
        <w:gridCol w:w="1528"/>
        <w:gridCol w:w="2521"/>
        <w:gridCol w:w="1852"/>
        <w:gridCol w:w="2947"/>
        <w:gridCol w:w="1233"/>
        <w:gridCol w:w="1722"/>
        <w:gridCol w:w="1691"/>
        <w:gridCol w:w="2609"/>
      </w:tblGrid>
      <w:tr>
        <w:trPr>
          <w:trHeight w:val="416"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事業名【</w:t>
            </w:r>
            <w:r>
              <w:rPr>
                <w:rFonts w:hint="eastAsia" w:asciiTheme="majorEastAsia" w:hAnsiTheme="majorEastAsia" w:eastAsiaTheme="majorEastAsia"/>
                <w:sz w:val="20"/>
              </w:rPr>
              <w:t>R3</w:t>
            </w:r>
            <w:r>
              <w:rPr>
                <w:rFonts w:hint="eastAsia" w:asciiTheme="majorEastAsia" w:hAnsiTheme="majorEastAsia" w:eastAsiaTheme="majorEastAsia"/>
                <w:sz w:val="20"/>
              </w:rPr>
              <w:t>年度】</w:t>
            </w:r>
          </w:p>
        </w:tc>
        <w:tc>
          <w:tcPr>
            <w:tcW w:w="20460" w:type="dxa"/>
            <w:gridSpan w:val="9"/>
            <w:vAlign w:val="top"/>
          </w:tcPr>
          <w:p>
            <w:pPr>
              <w:pStyle w:val="0"/>
              <w:rPr>
                <w:rFonts w:hint="default"/>
              </w:rPr>
            </w:pPr>
            <w:r>
              <w:rPr>
                <w:rFonts w:hint="eastAsia"/>
              </w:rPr>
              <w:t>糖尿病重症化予防事業</w:t>
            </w:r>
          </w:p>
        </w:tc>
      </w:tr>
      <w:tr>
        <w:trPr>
          <w:trHeight w:val="1221" w:hRule="atLeast"/>
        </w:trPr>
        <w:tc>
          <w:tcPr>
            <w:tcW w:w="1928" w:type="dxa"/>
            <w:gridSpan w:val="3"/>
            <w:vAlign w:val="top"/>
          </w:tcPr>
          <w:p>
            <w:pPr>
              <w:pStyle w:val="0"/>
              <w:rPr>
                <w:rFonts w:hint="default" w:asciiTheme="majorEastAsia" w:hAnsiTheme="majorEastAsia" w:eastAsiaTheme="majorEastAsia"/>
                <w:color w:val="auto"/>
                <w:sz w:val="20"/>
              </w:rPr>
            </w:pPr>
            <w:r>
              <w:rPr>
                <w:rFonts w:hint="eastAsia"/>
                <w:color w:val="auto"/>
                <w:sz w:val="20"/>
              </w:rPr>
              <w:t>背景（データヘルス計画との関係性・健康課題・計画での位置づけ）</w:t>
            </w:r>
          </w:p>
        </w:tc>
        <w:tc>
          <w:tcPr>
            <w:tcW w:w="20460" w:type="dxa"/>
            <w:gridSpan w:val="9"/>
            <w:vAlign w:val="top"/>
          </w:tcPr>
          <w:p>
            <w:pPr>
              <w:pStyle w:val="0"/>
              <w:rPr>
                <w:rFonts w:hint="eastAsia"/>
                <w:color w:val="auto"/>
              </w:rPr>
            </w:pPr>
            <w:r>
              <w:rPr>
                <w:rFonts w:hint="eastAsia"/>
                <w:color w:val="auto"/>
              </w:rPr>
              <w:t>疾病の未治療もしくは医療機関を受診しているにもかかわらず数値が改善しない状態（アンコントロール）が原因で重症化し、透析や入院、手術が必要になる人がいる。</w:t>
            </w:r>
          </w:p>
          <w:p>
            <w:pPr>
              <w:pStyle w:val="0"/>
              <w:rPr>
                <w:rFonts w:hint="eastAsia"/>
                <w:color w:val="auto"/>
              </w:rPr>
            </w:pPr>
            <w:r>
              <w:rPr>
                <w:rFonts w:hint="eastAsia"/>
                <w:color w:val="auto"/>
              </w:rPr>
              <w:t>R2</w:t>
            </w:r>
            <w:r>
              <w:rPr>
                <w:rFonts w:hint="eastAsia"/>
                <w:color w:val="auto"/>
              </w:rPr>
              <w:t>年</w:t>
            </w:r>
            <w:r>
              <w:rPr>
                <w:rFonts w:hint="eastAsia"/>
                <w:color w:val="auto"/>
              </w:rPr>
              <w:t>4</w:t>
            </w:r>
            <w:r>
              <w:rPr>
                <w:rFonts w:hint="eastAsia"/>
                <w:color w:val="auto"/>
              </w:rPr>
              <w:t>月時点での国民健康保険被保険者の内、人工透析の者は</w:t>
            </w:r>
            <w:r>
              <w:rPr>
                <w:rFonts w:hint="eastAsia"/>
                <w:color w:val="auto"/>
              </w:rPr>
              <w:t>13</w:t>
            </w:r>
            <w:r>
              <w:rPr>
                <w:rFonts w:hint="eastAsia"/>
                <w:color w:val="auto"/>
              </w:rPr>
              <w:t>人であり、これ以上該当者を増やさない取組が必要である。</w:t>
            </w:r>
          </w:p>
          <w:p>
            <w:pPr>
              <w:pStyle w:val="0"/>
              <w:rPr>
                <w:rFonts w:hint="default"/>
                <w:color w:val="auto"/>
              </w:rPr>
            </w:pPr>
            <w:r>
              <w:rPr>
                <w:rFonts w:hint="eastAsia"/>
                <w:color w:val="auto"/>
              </w:rPr>
              <w:t>また、令和２年度に生活習慣病が原因となる心筋梗塞で</w:t>
            </w:r>
            <w:r>
              <w:rPr>
                <w:rFonts w:hint="eastAsia"/>
                <w:color w:val="auto"/>
              </w:rPr>
              <w:t>50</w:t>
            </w:r>
            <w:r>
              <w:rPr>
                <w:rFonts w:hint="eastAsia"/>
                <w:color w:val="auto"/>
              </w:rPr>
              <w:t>万円以上の治療が必要となった人は</w:t>
            </w:r>
            <w:r>
              <w:rPr>
                <w:rFonts w:hint="eastAsia"/>
                <w:color w:val="auto"/>
              </w:rPr>
              <w:t>9</w:t>
            </w:r>
            <w:r>
              <w:rPr>
                <w:rFonts w:hint="eastAsia"/>
                <w:color w:val="auto"/>
              </w:rPr>
              <w:t>人おり、</w:t>
            </w:r>
            <w:r>
              <w:rPr>
                <w:rFonts w:hint="eastAsia"/>
                <w:color w:val="auto"/>
              </w:rPr>
              <w:t>9</w:t>
            </w:r>
            <w:r>
              <w:rPr>
                <w:rFonts w:hint="eastAsia"/>
                <w:color w:val="auto"/>
              </w:rPr>
              <w:t>人の医療費総額は</w:t>
            </w:r>
            <w:r>
              <w:rPr>
                <w:rFonts w:hint="eastAsia"/>
                <w:color w:val="auto"/>
              </w:rPr>
              <w:t>15,167,160</w:t>
            </w:r>
            <w:r>
              <w:rPr>
                <w:rFonts w:hint="eastAsia"/>
                <w:color w:val="auto"/>
              </w:rPr>
              <w:t>円、最高額は</w:t>
            </w:r>
            <w:r>
              <w:rPr>
                <w:rFonts w:hint="eastAsia"/>
                <w:color w:val="auto"/>
              </w:rPr>
              <w:t>3,712,630</w:t>
            </w:r>
            <w:r>
              <w:rPr>
                <w:rFonts w:hint="eastAsia"/>
                <w:color w:val="auto"/>
              </w:rPr>
              <w:t>円であった。</w:t>
            </w:r>
          </w:p>
          <w:p>
            <w:pPr>
              <w:pStyle w:val="0"/>
              <w:rPr>
                <w:rFonts w:hint="default"/>
                <w:color w:val="auto"/>
              </w:rPr>
            </w:pPr>
            <w:r>
              <w:rPr>
                <w:rFonts w:hint="eastAsia"/>
                <w:color w:val="auto"/>
              </w:rPr>
              <w:t>対象者が事業に参加するかどうかの確認は医療機関の合意を得る観点から、医療機関から対象者に説明を行っている。令和</w:t>
            </w:r>
            <w:r>
              <w:rPr>
                <w:rFonts w:hint="eastAsia"/>
                <w:color w:val="auto"/>
              </w:rPr>
              <w:t>2</w:t>
            </w:r>
            <w:r>
              <w:rPr>
                <w:rFonts w:hint="eastAsia"/>
                <w:color w:val="auto"/>
              </w:rPr>
              <w:t>年度は</w:t>
            </w:r>
            <w:r>
              <w:rPr>
                <w:rFonts w:hint="eastAsia"/>
                <w:color w:val="auto"/>
              </w:rPr>
              <w:t>2</w:t>
            </w:r>
            <w:r>
              <w:rPr>
                <w:rFonts w:hint="eastAsia"/>
                <w:color w:val="auto"/>
              </w:rPr>
              <w:t>医療機関が対象者に対して参加者の合意を得られた。</w:t>
            </w:r>
          </w:p>
          <w:p>
            <w:pPr>
              <w:pStyle w:val="0"/>
              <w:rPr>
                <w:rFonts w:hint="default"/>
                <w:color w:val="auto"/>
              </w:rPr>
            </w:pPr>
            <w:r>
              <w:rPr>
                <w:rFonts w:hint="eastAsia"/>
                <w:color w:val="auto"/>
              </w:rPr>
              <w:t>※令和</w:t>
            </w:r>
            <w:r>
              <w:rPr>
                <w:rFonts w:hint="eastAsia"/>
                <w:color w:val="auto"/>
              </w:rPr>
              <w:t>2</w:t>
            </w:r>
            <w:r>
              <w:rPr>
                <w:rFonts w:hint="eastAsia"/>
                <w:color w:val="auto"/>
              </w:rPr>
              <w:t>年度は対象者の募集まで実施。</w:t>
            </w:r>
          </w:p>
          <w:p>
            <w:pPr>
              <w:pStyle w:val="0"/>
              <w:rPr>
                <w:rFonts w:hint="default"/>
                <w:color w:val="auto"/>
              </w:rPr>
            </w:pPr>
            <w:r>
              <w:rPr>
                <w:rFonts w:hint="eastAsia"/>
                <w:color w:val="auto"/>
              </w:rPr>
              <w:t>　重点目標である医師会との協力体制を作ることができた。（医師会所属の内科</w:t>
            </w:r>
            <w:r>
              <w:rPr>
                <w:rFonts w:hint="eastAsia"/>
                <w:color w:val="auto"/>
              </w:rPr>
              <w:t>16</w:t>
            </w:r>
            <w:r>
              <w:rPr>
                <w:rFonts w:hint="eastAsia"/>
                <w:color w:val="auto"/>
              </w:rPr>
              <w:t>施設のうち、</w:t>
            </w:r>
            <w:r>
              <w:rPr>
                <w:rFonts w:hint="eastAsia"/>
                <w:color w:val="auto"/>
              </w:rPr>
              <w:t>13</w:t>
            </w:r>
            <w:r>
              <w:rPr>
                <w:rFonts w:hint="eastAsia"/>
                <w:color w:val="auto"/>
              </w:rPr>
              <w:t>施設から事業の協力を得ることができた。）</w:t>
            </w:r>
          </w:p>
        </w:tc>
      </w:tr>
      <w:tr>
        <w:trPr>
          <w:trHeight w:val="308"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目的</w:t>
            </w:r>
          </w:p>
        </w:tc>
        <w:tc>
          <w:tcPr>
            <w:tcW w:w="20460" w:type="dxa"/>
            <w:gridSpan w:val="9"/>
            <w:vAlign w:val="top"/>
          </w:tcPr>
          <w:p>
            <w:pPr>
              <w:pStyle w:val="0"/>
              <w:rPr>
                <w:rFonts w:hint="default"/>
                <w:color w:val="auto"/>
              </w:rPr>
            </w:pPr>
            <w:r>
              <w:rPr>
                <w:rFonts w:hint="eastAsia"/>
                <w:color w:val="auto"/>
              </w:rPr>
              <w:t>事業対象者の各数値が改善され、保健指導時における本人の健康意識が改善又は維持される。また、事業終了後もかかりつけ医と専門医の連携が保たれ、重症化する前に専門医が介入できるようになる。</w:t>
            </w:r>
          </w:p>
        </w:tc>
      </w:tr>
      <w:tr>
        <w:trPr>
          <w:trHeight w:val="1234" w:hRule="atLeast"/>
        </w:trPr>
        <w:tc>
          <w:tcPr>
            <w:tcW w:w="1928" w:type="dxa"/>
            <w:gridSpan w:val="3"/>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対象者</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周知・募集方法</w:t>
            </w:r>
          </w:p>
          <w:p>
            <w:pPr>
              <w:pStyle w:val="0"/>
              <w:rPr>
                <w:rFonts w:hint="default" w:asciiTheme="majorEastAsia" w:hAnsiTheme="majorEastAsia" w:eastAsiaTheme="majorEastAsia"/>
                <w:sz w:val="20"/>
              </w:rPr>
            </w:pPr>
          </w:p>
        </w:tc>
        <w:tc>
          <w:tcPr>
            <w:tcW w:w="20460" w:type="dxa"/>
            <w:gridSpan w:val="9"/>
            <w:vAlign w:val="top"/>
          </w:tcPr>
          <w:p>
            <w:pPr>
              <w:pStyle w:val="0"/>
              <w:rPr>
                <w:rFonts w:hint="default"/>
                <w:sz w:val="20"/>
              </w:rPr>
            </w:pPr>
            <w:r>
              <w:rPr>
                <w:rFonts w:hint="eastAsia"/>
              </w:rPr>
              <w:t>対象者：国保被保険者で、健診結果及びレセプトから数年以内に人工透析または虚血性心疾患のリスクがある人の内、本人及びかかりつけ医から事業参加に同意が得られた人　</w:t>
            </w:r>
            <w:r>
              <w:rPr>
                <w:rFonts w:hint="eastAsia"/>
              </w:rPr>
              <w:t>9</w:t>
            </w:r>
            <w:r>
              <w:rPr>
                <w:rFonts w:hint="eastAsia"/>
              </w:rPr>
              <w:t>名</w:t>
            </w:r>
          </w:p>
          <w:p>
            <w:pPr>
              <w:pStyle w:val="0"/>
              <w:rPr>
                <w:rFonts w:hint="default"/>
              </w:rPr>
            </w:pPr>
            <w:r>
              <w:rPr>
                <w:rFonts w:hint="eastAsia"/>
              </w:rPr>
              <w:t>募集方法：健診結果及びレセプトから抽出された対象者のうち、かかりつけ医が事業への参加を必要と判断した人に対し、かかりつけ医から事業の説明及び参加募集を行う。</w:t>
            </w:r>
          </w:p>
        </w:tc>
      </w:tr>
      <w:tr>
        <w:trPr>
          <w:trHeight w:val="1148" w:hRule="atLeast"/>
        </w:trPr>
        <w:tc>
          <w:tcPr>
            <w:tcW w:w="442" w:type="dxa"/>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事業内容</w:t>
            </w:r>
          </w:p>
        </w:tc>
        <w:tc>
          <w:tcPr>
            <w:tcW w:w="1486" w:type="dxa"/>
            <w:gridSpan w:val="2"/>
            <w:vAlign w:val="top"/>
          </w:tcPr>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実施期間</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実施日時</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実施場所</w:t>
            </w:r>
          </w:p>
          <w:p>
            <w:pPr>
              <w:pStyle w:val="0"/>
              <w:widowControl w:val="1"/>
              <w:jc w:val="left"/>
              <w:rPr>
                <w:rFonts w:hint="default" w:asciiTheme="majorEastAsia" w:hAnsiTheme="majorEastAsia" w:eastAsiaTheme="majorEastAsia"/>
                <w:sz w:val="20"/>
              </w:rPr>
            </w:pPr>
            <w:r>
              <w:rPr>
                <w:rFonts w:hint="eastAsia" w:asciiTheme="majorEastAsia" w:hAnsiTheme="majorEastAsia" w:eastAsiaTheme="majorEastAsia"/>
                <w:sz w:val="20"/>
              </w:rPr>
              <w:t>内容</w:t>
            </w:r>
          </w:p>
        </w:tc>
        <w:tc>
          <w:tcPr>
            <w:tcW w:w="20460" w:type="dxa"/>
            <w:gridSpan w:val="9"/>
            <w:vAlign w:val="top"/>
          </w:tcPr>
          <w:p>
            <w:pPr>
              <w:pStyle w:val="0"/>
              <w:rPr>
                <w:rFonts w:hint="default"/>
              </w:rPr>
            </w:pPr>
            <w:r>
              <w:rPr>
                <w:rFonts w:hint="eastAsia"/>
              </w:rPr>
              <w:t>期間：</w:t>
            </w:r>
            <w:r>
              <w:rPr>
                <w:rFonts w:hint="eastAsia"/>
              </w:rPr>
              <w:t>4</w:t>
            </w:r>
            <w:r>
              <w:rPr>
                <w:rFonts w:hint="eastAsia"/>
              </w:rPr>
              <w:t>月中旬～</w:t>
            </w:r>
            <w:r>
              <w:rPr>
                <w:rFonts w:hint="eastAsia"/>
              </w:rPr>
              <w:t>8</w:t>
            </w:r>
            <w:r>
              <w:rPr>
                <w:rFonts w:hint="eastAsia"/>
              </w:rPr>
              <w:t>月</w:t>
            </w:r>
          </w:p>
          <w:p>
            <w:pPr>
              <w:pStyle w:val="0"/>
              <w:rPr>
                <w:rFonts w:hint="default"/>
              </w:rPr>
            </w:pPr>
            <w:r>
              <w:rPr>
                <w:rFonts w:hint="eastAsia"/>
              </w:rPr>
              <w:t>内容：対象者は期間中アプリ又は紙で自身の食事、運動、体重・血圧等を記録</w:t>
            </w:r>
          </w:p>
          <w:p>
            <w:pPr>
              <w:pStyle w:val="0"/>
              <w:ind w:firstLine="630" w:firstLineChars="300"/>
              <w:rPr>
                <w:rFonts w:hint="default"/>
              </w:rPr>
            </w:pPr>
            <w:r>
              <w:rPr>
                <w:rFonts w:hint="eastAsia"/>
              </w:rPr>
              <w:t>専門医・薬剤師・栄養士による保健指導の実施</w:t>
            </w:r>
            <w:r>
              <w:rPr>
                <w:rFonts w:hint="eastAsia"/>
              </w:rPr>
              <w:t>(</w:t>
            </w:r>
            <w:r>
              <w:rPr>
                <w:rFonts w:hint="eastAsia"/>
              </w:rPr>
              <w:t>面談又はオンライン面談を複数回実施）</w:t>
            </w:r>
          </w:p>
          <w:p>
            <w:pPr>
              <w:pStyle w:val="0"/>
              <w:rPr>
                <w:rFonts w:hint="default"/>
              </w:rPr>
            </w:pPr>
            <w:r>
              <w:rPr>
                <w:rFonts w:hint="eastAsia"/>
              </w:rPr>
              <w:t>　　　栄養士、薬剤師によるアプリ上又は電話、メールによる定期的な経過観察及びアドバイスを実施</w:t>
            </w:r>
          </w:p>
          <w:p>
            <w:pPr>
              <w:pStyle w:val="0"/>
              <w:rPr>
                <w:rFonts w:hint="default"/>
              </w:rPr>
            </w:pPr>
            <w:r>
              <w:rPr>
                <w:rFonts w:hint="eastAsia"/>
              </w:rPr>
              <w:t>　　　専門医はかかりつけ医に対し、投薬や治療方針についてのアドバイスを行う。また、悪化してしまった場合の専門医への紹介基準を提示し、事業終了後もかかりつけ医と専門医の連携を継続させ重症化を防ぐ。</w:t>
            </w:r>
          </w:p>
        </w:tc>
      </w:tr>
      <w:tr>
        <w:trPr>
          <w:trHeight w:val="794" w:hRule="atLeast"/>
        </w:trPr>
        <w:tc>
          <w:tcPr>
            <w:tcW w:w="442" w:type="dxa"/>
            <w:vMerge w:val="continue"/>
            <w:vAlign w:val="top"/>
          </w:tcPr>
          <w:p>
            <w:pPr>
              <w:pStyle w:val="0"/>
              <w:rPr>
                <w:rFonts w:hint="default" w:asciiTheme="majorEastAsia" w:hAnsiTheme="majorEastAsia" w:eastAsiaTheme="majorEastAsia"/>
                <w:sz w:val="20"/>
              </w:rPr>
            </w:pPr>
          </w:p>
        </w:tc>
        <w:tc>
          <w:tcPr>
            <w:tcW w:w="1486" w:type="dxa"/>
            <w:gridSpan w:val="2"/>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実施体制</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（従事者・担当ごとの役割等）</w:t>
            </w:r>
          </w:p>
        </w:tc>
        <w:tc>
          <w:tcPr>
            <w:tcW w:w="20460" w:type="dxa"/>
            <w:gridSpan w:val="9"/>
            <w:vAlign w:val="top"/>
          </w:tcPr>
          <w:p>
            <w:pPr>
              <w:pStyle w:val="0"/>
              <w:rPr>
                <w:rFonts w:hint="default"/>
              </w:rPr>
            </w:pPr>
            <w:r>
              <w:rPr>
                <w:rFonts w:hint="eastAsia"/>
              </w:rPr>
              <w:t>長久手市：全体の取りまとめ　参加者のサポート　　　　　　　　</w:t>
            </w:r>
            <w:r>
              <w:rPr>
                <w:rFonts w:hint="eastAsia"/>
              </w:rPr>
              <w:t xml:space="preserve"> </w:t>
            </w:r>
            <w:r>
              <w:rPr>
                <w:rFonts w:hint="eastAsia"/>
              </w:rPr>
              <w:t>株式会社スギ薬局：薬剤師・栄養士による服薬・栄養・運動指導</w:t>
            </w:r>
          </w:p>
          <w:p>
            <w:pPr>
              <w:pStyle w:val="0"/>
              <w:rPr>
                <w:rFonts w:hint="default"/>
              </w:rPr>
            </w:pPr>
            <w:r>
              <w:rPr>
                <w:rFonts w:hint="eastAsia"/>
              </w:rPr>
              <w:t>株式会社</w:t>
            </w:r>
            <w:r>
              <w:rPr>
                <w:rFonts w:hint="eastAsia"/>
              </w:rPr>
              <w:t>JMDC</w:t>
            </w:r>
            <w:r>
              <w:rPr>
                <w:rFonts w:hint="eastAsia"/>
              </w:rPr>
              <w:t>委託業者：対象者の抽出及び事業結果の分析　　　アステラス製薬株式会社：医師会、愛知医科大学病院との調整</w:t>
            </w:r>
          </w:p>
          <w:p>
            <w:pPr>
              <w:pStyle w:val="0"/>
              <w:rPr>
                <w:rFonts w:hint="default"/>
              </w:rPr>
            </w:pPr>
            <w:r>
              <w:rPr>
                <w:rFonts w:hint="eastAsia"/>
              </w:rPr>
              <w:t>東名古屋医師会長久手支部：指導方針の決定</w:t>
            </w:r>
          </w:p>
          <w:p>
            <w:pPr>
              <w:pStyle w:val="0"/>
              <w:rPr>
                <w:rFonts w:hint="default"/>
              </w:rPr>
            </w:pPr>
            <w:r>
              <w:rPr>
                <w:rFonts w:hint="eastAsia"/>
              </w:rPr>
              <w:t>愛知医科大学病院：専門医による対象者への保健指導、かかりつけ医に対する投薬や治療方針へのアドバイス</w:t>
            </w:r>
          </w:p>
        </w:tc>
      </w:tr>
      <w:tr>
        <w:trPr>
          <w:trHeight w:val="308" w:hRule="atLeast"/>
        </w:trPr>
        <w:tc>
          <w:tcPr>
            <w:tcW w:w="1928" w:type="dxa"/>
            <w:gridSpan w:val="3"/>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今年度の重点目標</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保健指導実施者の健康に対する意欲の変化</w:t>
            </w:r>
          </w:p>
        </w:tc>
        <w:tc>
          <w:tcPr>
            <w:tcW w:w="1852" w:type="dxa"/>
            <w:tcBorders>
              <w:top w:val="single" w:color="2E74B4" w:themeColor="accent1" w:themeShade="BF" w:sz="18" w:space="0"/>
              <w:left w:val="single" w:color="2E74B4" w:themeColor="accent1" w:themeShade="BF" w:sz="18"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ajorEastAsia" w:hAnsiTheme="majorEastAsia" w:eastAsiaTheme="majorEastAsia"/>
              </w:rPr>
            </w:pPr>
            <w:r>
              <w:rPr>
                <w:rFonts w:hint="eastAsia" w:asciiTheme="majorEastAsia" w:hAnsiTheme="majorEastAsia" w:eastAsiaTheme="majorEastAsia"/>
              </w:rPr>
              <w:t>重点目標に対する実施後の評価</w:t>
            </w:r>
          </w:p>
        </w:tc>
        <w:tc>
          <w:tcPr>
            <w:tcW w:w="10202" w:type="dxa"/>
            <w:gridSpan w:val="5"/>
            <w:tcBorders>
              <w:top w:val="single" w:color="2E74B4" w:themeColor="accent1" w:themeShade="BF" w:sz="18" w:space="0"/>
              <w:left w:val="single" w:color="auto" w:sz="4" w:space="0"/>
              <w:bottom w:val="none" w:color="auto" w:sz="0" w:space="0"/>
              <w:right w:val="single" w:color="2E74B4" w:themeColor="accent1" w:themeShade="BF" w:sz="18" w:space="0"/>
              <w:tl2br w:val="none" w:color="auto" w:sz="0" w:space="0"/>
              <w:tr2bl w:val="none" w:color="auto" w:sz="0" w:space="0"/>
            </w:tcBorders>
            <w:vAlign w:val="top"/>
          </w:tcPr>
          <w:p>
            <w:pPr>
              <w:pStyle w:val="0"/>
              <w:widowControl w:val="1"/>
              <w:jc w:val="left"/>
              <w:rPr>
                <w:rFonts w:hint="default"/>
              </w:rPr>
            </w:pPr>
            <w:r>
              <w:rPr>
                <w:rFonts w:hint="eastAsia"/>
              </w:rPr>
              <w:t>9</w:t>
            </w:r>
            <w:r>
              <w:rPr>
                <w:rFonts w:hint="eastAsia"/>
              </w:rPr>
              <w:t>人に事業を実施し、全員が食事に対する意欲が改善、</w:t>
            </w:r>
            <w:r>
              <w:rPr>
                <w:rFonts w:hint="eastAsia"/>
              </w:rPr>
              <w:t>8</w:t>
            </w:r>
            <w:r>
              <w:rPr>
                <w:rFonts w:hint="eastAsia"/>
              </w:rPr>
              <w:t>人が運動に対する意欲の改善が見られた。</w:t>
            </w:r>
          </w:p>
          <w:p>
            <w:pPr>
              <w:pStyle w:val="0"/>
              <w:rPr>
                <w:rFonts w:hint="default"/>
              </w:rPr>
            </w:pPr>
          </w:p>
        </w:tc>
      </w:tr>
      <w:tr>
        <w:trPr>
          <w:trHeight w:val="282" w:hRule="atLeast"/>
        </w:trPr>
        <w:tc>
          <w:tcPr>
            <w:tcW w:w="482" w:type="dxa"/>
            <w:gridSpan w:val="2"/>
            <w:vMerge w:val="restart"/>
            <w:vAlign w:val="top"/>
          </w:tcPr>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目標</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評価指標</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c>
          <w:tcPr>
            <w:tcW w:w="1446" w:type="dxa"/>
            <w:vMerge w:val="restart"/>
            <w:vAlign w:val="top"/>
          </w:tcPr>
          <w:p>
            <w:pPr>
              <w:pStyle w:val="0"/>
              <w:widowControl w:val="1"/>
              <w:jc w:val="left"/>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区分</w:t>
            </w:r>
          </w:p>
        </w:tc>
        <w:tc>
          <w:tcPr>
            <w:tcW w:w="8406" w:type="dxa"/>
            <w:gridSpan w:val="3"/>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ind w:firstLine="2940" w:firstLineChars="1400"/>
              <w:rPr>
                <w:rFonts w:hint="default" w:asciiTheme="majorEastAsia" w:hAnsiTheme="majorEastAsia" w:eastAsiaTheme="majorEastAsia"/>
              </w:rPr>
            </w:pPr>
            <w:r>
              <w:rPr>
                <w:rFonts w:hint="eastAsia" w:asciiTheme="majorEastAsia" w:hAnsiTheme="majorEastAsia" w:eastAsiaTheme="majorEastAsia"/>
              </w:rPr>
              <w:t>事　業　計　画</w:t>
            </w:r>
          </w:p>
        </w:tc>
        <w:tc>
          <w:tcPr>
            <w:tcW w:w="12054" w:type="dxa"/>
            <w:gridSpan w:val="6"/>
            <w:tcBorders>
              <w:top w:val="none" w:color="auto" w:sz="0" w:space="0"/>
              <w:left w:val="single" w:color="2E74B4" w:themeColor="accent1" w:themeShade="BF" w:sz="18"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実施後の評価</w:t>
            </w:r>
            <w:r>
              <w:rPr>
                <w:rFonts w:hint="eastAsia" w:asciiTheme="majorEastAsia" w:hAnsiTheme="majorEastAsia" w:eastAsiaTheme="majorEastAsia"/>
                <w:sz w:val="20"/>
              </w:rPr>
              <w:t>（＊達成度　Ａ：目標達成　Ｂ：目標達成していないが改善　Ｃ：変化なし　Ｄ：悪化　Ｅ：判定不能）</w:t>
            </w:r>
          </w:p>
        </w:tc>
      </w:tr>
      <w:tr>
        <w:trPr>
          <w:trHeight w:val="501"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widowControl w:val="1"/>
              <w:jc w:val="left"/>
              <w:rPr>
                <w:rFonts w:hint="default" w:asciiTheme="majorEastAsia" w:hAnsiTheme="majorEastAsia" w:eastAsiaTheme="majorEastAsia"/>
                <w:sz w:val="20"/>
              </w:rPr>
            </w:pPr>
          </w:p>
        </w:tc>
        <w:tc>
          <w:tcPr>
            <w:tcW w:w="4357" w:type="dxa"/>
            <w:vAlign w:val="top"/>
          </w:tcPr>
          <w:p>
            <w:pPr>
              <w:pStyle w:val="0"/>
              <w:ind w:firstLine="800" w:firstLineChars="400"/>
              <w:rPr>
                <w:rFonts w:hint="default" w:asciiTheme="majorEastAsia" w:hAnsiTheme="majorEastAsia" w:eastAsiaTheme="majorEastAsia"/>
                <w:sz w:val="20"/>
              </w:rPr>
            </w:pPr>
            <w:r>
              <w:rPr>
                <w:rFonts w:hint="eastAsia" w:asciiTheme="majorEastAsia" w:hAnsiTheme="majorEastAsia" w:eastAsiaTheme="majorEastAsia"/>
                <w:sz w:val="20"/>
              </w:rPr>
              <w:t>指標（事業番号ごとに設定）</w:t>
            </w:r>
          </w:p>
        </w:tc>
        <w:tc>
          <w:tcPr>
            <w:tcW w:w="1528"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目標値</w:t>
            </w:r>
          </w:p>
        </w:tc>
        <w:tc>
          <w:tcPr>
            <w:tcW w:w="2521"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評価（データ入手方法・</w:t>
            </w:r>
          </w:p>
          <w:p>
            <w:pPr>
              <w:pStyle w:val="0"/>
              <w:rPr>
                <w:rFonts w:hint="default" w:asciiTheme="majorEastAsia" w:hAnsiTheme="majorEastAsia" w:eastAsiaTheme="majorEastAsia"/>
              </w:rPr>
            </w:pPr>
            <w:r>
              <w:rPr>
                <w:rFonts w:hint="eastAsia" w:asciiTheme="majorEastAsia" w:hAnsiTheme="majorEastAsia" w:eastAsiaTheme="majorEastAsia"/>
              </w:rPr>
              <w:t>入手先・時期）</w:t>
            </w:r>
          </w:p>
        </w:tc>
        <w:tc>
          <w:tcPr>
            <w:tcW w:w="4799" w:type="dxa"/>
            <w:gridSpan w:val="2"/>
            <w:tcBorders>
              <w:top w:val="none" w:color="auto" w:sz="0"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ind w:firstLine="1470" w:firstLineChars="700"/>
              <w:rPr>
                <w:rFonts w:hint="default" w:asciiTheme="majorEastAsia" w:hAnsiTheme="majorEastAsia" w:eastAsiaTheme="majorEastAsia"/>
              </w:rPr>
            </w:pPr>
            <w:r>
              <w:rPr>
                <w:rFonts w:hint="eastAsia" w:asciiTheme="majorEastAsia" w:hAnsiTheme="majorEastAsia" w:eastAsiaTheme="majorEastAsia"/>
              </w:rPr>
              <w:t>指標の評価結果</w:t>
            </w:r>
          </w:p>
        </w:tc>
        <w:tc>
          <w:tcPr>
            <w:tcW w:w="1233"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達成度＊</w:t>
            </w:r>
          </w:p>
        </w:tc>
        <w:tc>
          <w:tcPr>
            <w:tcW w:w="172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成功・推進要因</w:t>
            </w:r>
          </w:p>
        </w:tc>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課題・阻害要因</w:t>
            </w:r>
          </w:p>
        </w:tc>
        <w:tc>
          <w:tcPr>
            <w:tcW w:w="2609" w:type="dxa"/>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asciiTheme="majorEastAsia" w:hAnsiTheme="majorEastAsia" w:eastAsiaTheme="majorEastAsia"/>
              </w:rPr>
            </w:pPr>
            <w:r>
              <w:rPr>
                <w:rFonts w:hint="eastAsia" w:asciiTheme="majorEastAsia" w:hAnsiTheme="majorEastAsia" w:eastAsiaTheme="majorEastAsia"/>
              </w:rPr>
              <w:t>全体評価・今後の方向性</w:t>
            </w:r>
          </w:p>
        </w:tc>
      </w:tr>
      <w:tr>
        <w:trPr>
          <w:trHeight w:val="710"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ストラク</w:t>
            </w:r>
          </w:p>
          <w:p>
            <w:pPr>
              <w:pStyle w:val="0"/>
              <w:ind w:left="200" w:hanging="200" w:hangingChars="100"/>
              <w:jc w:val="left"/>
              <w:rPr>
                <w:rFonts w:hint="default" w:asciiTheme="majorEastAsia" w:hAnsiTheme="majorEastAsia" w:eastAsiaTheme="majorEastAsia"/>
                <w:sz w:val="20"/>
              </w:rPr>
            </w:pPr>
            <w:r>
              <w:rPr>
                <w:rFonts w:hint="eastAsia" w:asciiTheme="majorEastAsia" w:hAnsiTheme="majorEastAsia" w:eastAsiaTheme="majorEastAsia"/>
                <w:sz w:val="20"/>
              </w:rPr>
              <w:t>チャー</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関係機関との協力体制の構築</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医師会、専門医と連携する</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w:t>
            </w:r>
            <w:r>
              <w:rPr>
                <w:rFonts w:hint="eastAsia"/>
              </w:rPr>
              <w:t>9</w:t>
            </w:r>
            <w:r>
              <w:rPr>
                <w:rFonts w:hint="eastAsia"/>
              </w:rPr>
              <w:t>月）</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医師会、専門医の理解を得られ、連携協力できた</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事前の根回しを十分に行ったため</w:t>
            </w:r>
          </w:p>
        </w:tc>
        <w:tc>
          <w:tcPr>
            <w:tcW w:w="1691" w:type="dxa"/>
            <w:vMerge w:val="restart"/>
            <w:vAlign w:val="top"/>
          </w:tcPr>
          <w:p>
            <w:pPr>
              <w:pStyle w:val="0"/>
              <w:rPr>
                <w:rFonts w:hint="default"/>
              </w:rPr>
            </w:pPr>
            <w:r>
              <w:rPr>
                <w:rFonts w:hint="eastAsia"/>
              </w:rPr>
              <w:t>対象者として抽出されても参加を拒否したり、医師が難しいと判断した人もいた。</w:t>
            </w:r>
          </w:p>
          <w:p>
            <w:pPr>
              <w:pStyle w:val="0"/>
              <w:rPr>
                <w:rFonts w:hint="default"/>
              </w:rPr>
            </w:pPr>
            <w:r>
              <w:rPr>
                <w:rFonts w:hint="eastAsia"/>
              </w:rPr>
              <w:t>報告の中で、委託業者の薬局が当初の予定に無かった自社アプリを指導に使用していたことなどがわかり、事前に指導方法などをより細かく確認する必要があった。</w:t>
            </w:r>
          </w:p>
        </w:tc>
        <w:tc>
          <w:tcPr>
            <w:tcW w:w="2609" w:type="dxa"/>
            <w:vMerge w:val="restart"/>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専門職、かかりつけ医、栄養士、薬剤師が連携して指導を定期的に行ったことで、実際に参加した対象者は意欲、数値ともに大きく改善が見られた。</w:t>
            </w:r>
          </w:p>
          <w:p>
            <w:pPr>
              <w:pStyle w:val="0"/>
              <w:rPr>
                <w:rFonts w:hint="default"/>
              </w:rPr>
            </w:pPr>
            <w:r>
              <w:rPr>
                <w:rFonts w:hint="eastAsia"/>
              </w:rPr>
              <w:t>今後は、医師会等に事業結果を報告し、更に理解を得ることで、参加する医療機関を増やし、対象者を増やすことを検討している。</w:t>
            </w: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jc w:val="left"/>
              <w:rPr>
                <w:rFonts w:hint="default" w:asciiTheme="majorEastAsia" w:hAnsiTheme="majorEastAsia" w:eastAsiaTheme="majorEastAsia"/>
                <w:sz w:val="20"/>
              </w:rPr>
            </w:pPr>
          </w:p>
        </w:tc>
        <w:tc>
          <w:tcPr>
            <w:tcW w:w="43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業務に従事するマンパワーの確保</w:t>
            </w:r>
          </w:p>
        </w:tc>
        <w:tc>
          <w:tcPr>
            <w:tcW w:w="152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必要数の確保</w:t>
            </w:r>
          </w:p>
        </w:tc>
        <w:tc>
          <w:tcPr>
            <w:tcW w:w="2521" w:type="dxa"/>
            <w:tcBorders>
              <w:top w:val="dashSmallGap" w:color="auto" w:sz="4"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事業開始時及び終了後</w:t>
            </w:r>
          </w:p>
        </w:tc>
        <w:tc>
          <w:tcPr>
            <w:tcW w:w="4799" w:type="dxa"/>
            <w:gridSpan w:val="2"/>
            <w:tcBorders>
              <w:top w:val="dashSmallGap" w:color="auto" w:sz="4"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計画通り必要数が確保できた。</w:t>
            </w:r>
          </w:p>
        </w:tc>
        <w:tc>
          <w:tcPr>
            <w:tcW w:w="12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w:t>
            </w:r>
          </w:p>
        </w:tc>
        <w:tc>
          <w:tcPr>
            <w:tcW w:w="16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プロセス</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対象者の適切な選定</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適切な対象者を選定する</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事業開始時及び終了後</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対象者として抽出した者から実際に透析患者が出た例もあり</w:t>
            </w:r>
            <w:r>
              <w:rPr>
                <w:rFonts w:hint="eastAsia"/>
              </w:rPr>
              <w:t>(</w:t>
            </w:r>
            <w:r>
              <w:rPr>
                <w:rFonts w:hint="eastAsia"/>
              </w:rPr>
              <w:t>事業への参加同意は得られなかった</w:t>
            </w:r>
            <w:r>
              <w:rPr>
                <w:rFonts w:hint="eastAsia"/>
              </w:rPr>
              <w:t>)</w:t>
            </w:r>
            <w:r>
              <w:rPr>
                <w:rFonts w:hint="eastAsia"/>
              </w:rPr>
              <w:t>、適切に抽出できていた。</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健診、レセプトなど複合的に対象者を抽出したため</w:t>
            </w:r>
          </w:p>
        </w:tc>
        <w:tc>
          <w:tcPr>
            <w:tcW w:w="1691"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default" w:asciiTheme="majorEastAsia" w:hAnsiTheme="majorEastAsia" w:eastAsiaTheme="majorEastAsia"/>
                <w:sz w:val="20"/>
              </w:rPr>
            </w:pPr>
          </w:p>
        </w:tc>
        <w:tc>
          <w:tcPr>
            <w:tcW w:w="1446" w:type="dxa"/>
            <w:vMerge w:val="continue"/>
            <w:vAlign w:val="top"/>
          </w:tcPr>
          <w:p>
            <w:pPr>
              <w:pStyle w:val="0"/>
              <w:ind w:firstLine="200" w:firstLineChars="100"/>
              <w:jc w:val="left"/>
              <w:rPr>
                <w:rFonts w:hint="default" w:asciiTheme="majorEastAsia" w:hAnsiTheme="majorEastAsia" w:eastAsiaTheme="majorEastAsia"/>
                <w:sz w:val="20"/>
              </w:rPr>
            </w:pPr>
          </w:p>
        </w:tc>
        <w:tc>
          <w:tcPr>
            <w:tcW w:w="43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事業の進捗状況の管理</w:t>
            </w:r>
          </w:p>
        </w:tc>
        <w:tc>
          <w:tcPr>
            <w:tcW w:w="152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毎月経過報告共有会を開催</w:t>
            </w:r>
          </w:p>
        </w:tc>
        <w:tc>
          <w:tcPr>
            <w:tcW w:w="2521" w:type="dxa"/>
            <w:tcBorders>
              <w:top w:val="dashSmallGap" w:color="auto" w:sz="4"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5</w:t>
            </w:r>
            <w:r>
              <w:rPr>
                <w:rFonts w:hint="eastAsia"/>
              </w:rPr>
              <w:t>月～</w:t>
            </w:r>
            <w:r>
              <w:rPr>
                <w:rFonts w:hint="eastAsia"/>
              </w:rPr>
              <w:t>8</w:t>
            </w:r>
            <w:r>
              <w:rPr>
                <w:rFonts w:hint="eastAsia"/>
              </w:rPr>
              <w:t>月各</w:t>
            </w:r>
            <w:r>
              <w:rPr>
                <w:rFonts w:hint="eastAsia"/>
              </w:rPr>
              <w:t>1</w:t>
            </w:r>
            <w:r>
              <w:rPr>
                <w:rFonts w:hint="eastAsia"/>
              </w:rPr>
              <w:t>回</w:t>
            </w:r>
          </w:p>
        </w:tc>
        <w:tc>
          <w:tcPr>
            <w:tcW w:w="4799" w:type="dxa"/>
            <w:gridSpan w:val="2"/>
            <w:tcBorders>
              <w:top w:val="dashSmallGap" w:color="auto" w:sz="4" w:space="0"/>
              <w:left w:val="single" w:color="2E74B4" w:themeColor="accent1" w:themeShade="BF" w:sz="18"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毎月経過報告会を実施し、進捗管理を行った。</w:t>
            </w:r>
          </w:p>
        </w:tc>
        <w:tc>
          <w:tcPr>
            <w:tcW w:w="12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72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定期的に報告会の実施を促したため</w:t>
            </w:r>
          </w:p>
        </w:tc>
        <w:tc>
          <w:tcPr>
            <w:tcW w:w="1691" w:type="dxa"/>
            <w:vMerge w:val="continue"/>
            <w:vAlign w:val="top"/>
          </w:tcPr>
          <w:p>
            <w:pPr>
              <w:pStyle w:val="0"/>
              <w:rPr>
                <w:rFonts w:hint="default"/>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default"/>
              </w:rPr>
            </w:pPr>
          </w:p>
        </w:tc>
      </w:tr>
      <w:tr>
        <w:trPr>
          <w:trHeight w:val="567" w:hRule="atLeast"/>
        </w:trPr>
        <w:tc>
          <w:tcPr>
            <w:tcW w:w="482" w:type="dxa"/>
            <w:gridSpan w:val="2"/>
            <w:vMerge w:val="continue"/>
            <w:vAlign w:val="top"/>
          </w:tcPr>
          <w:p>
            <w:pPr>
              <w:pStyle w:val="0"/>
              <w:rPr>
                <w:rFonts w:hint="eastAsia"/>
              </w:rPr>
            </w:pPr>
          </w:p>
        </w:tc>
        <w:tc>
          <w:tcPr>
            <w:tcW w:w="1446" w:type="dxa"/>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アウトプット</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保健指導実施率</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100</w:t>
            </w:r>
            <w:r>
              <w:rPr>
                <w:rFonts w:hint="eastAsia"/>
              </w:rPr>
              <w:t>％</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w:t>
            </w:r>
            <w:r>
              <w:rPr>
                <w:rFonts w:hint="eastAsia"/>
              </w:rPr>
              <w:t>9</w:t>
            </w:r>
            <w:r>
              <w:rPr>
                <w:rFonts w:hint="eastAsia"/>
              </w:rPr>
              <w:t>月）</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1</w:t>
            </w:r>
            <w:r>
              <w:rPr>
                <w:rFonts w:hint="eastAsia"/>
              </w:rPr>
              <w:t>名管理栄養士による保健指導を拒否した者がいた</w:t>
            </w:r>
            <w:r>
              <w:rPr>
                <w:rFonts w:hint="eastAsia"/>
              </w:rPr>
              <w:t>(89</w:t>
            </w:r>
            <w:r>
              <w:rPr>
                <w:rFonts w:hint="eastAsia"/>
              </w:rPr>
              <w:t>％</w:t>
            </w:r>
            <w:r>
              <w:rPr>
                <w:rFonts w:hint="eastAsia"/>
              </w:rPr>
              <w:t>)</w:t>
            </w:r>
          </w:p>
          <w:p>
            <w:pPr>
              <w:pStyle w:val="0"/>
              <w:rPr>
                <w:rFonts w:hint="default"/>
              </w:rPr>
            </w:pP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B</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w:t>
            </w:r>
          </w:p>
        </w:tc>
        <w:tc>
          <w:tcPr>
            <w:tcW w:w="1691" w:type="dxa"/>
            <w:vAlign w:val="top"/>
          </w:tcPr>
          <w:p>
            <w:pPr>
              <w:pStyle w:val="0"/>
              <w:rPr>
                <w:rFonts w:hint="default"/>
              </w:rPr>
            </w:pPr>
            <w:r>
              <w:rPr>
                <w:rFonts w:hint="eastAsia"/>
              </w:rPr>
              <w:t>アプリを使用することに抵抗感を示す人がいた。</w:t>
            </w: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567" w:hRule="atLeast"/>
        </w:trPr>
        <w:tc>
          <w:tcPr>
            <w:tcW w:w="482" w:type="dxa"/>
            <w:gridSpan w:val="2"/>
            <w:vMerge w:val="continue"/>
            <w:vAlign w:val="top"/>
          </w:tcPr>
          <w:p>
            <w:pPr>
              <w:pStyle w:val="0"/>
              <w:rPr>
                <w:rFonts w:hint="eastAsia"/>
              </w:rPr>
            </w:pPr>
          </w:p>
        </w:tc>
        <w:tc>
          <w:tcPr>
            <w:tcW w:w="1446" w:type="dxa"/>
            <w:vMerge w:val="restart"/>
            <w:vAlign w:val="top"/>
          </w:tcPr>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アウトカム</w:t>
            </w:r>
          </w:p>
        </w:tc>
        <w:tc>
          <w:tcPr>
            <w:tcW w:w="43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参加者のうち数値が改善した人の割合</w:t>
            </w:r>
          </w:p>
        </w:tc>
        <w:tc>
          <w:tcPr>
            <w:tcW w:w="15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90</w:t>
            </w:r>
            <w:r>
              <w:rPr>
                <w:rFonts w:hint="eastAsia"/>
              </w:rPr>
              <w:t>％</w:t>
            </w:r>
          </w:p>
        </w:tc>
        <w:tc>
          <w:tcPr>
            <w:tcW w:w="2521" w:type="dxa"/>
            <w:tcBorders>
              <w:top w:val="none" w:color="auto" w:sz="0"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かかりつけ医での血液検査、次年度健診結果</w:t>
            </w:r>
          </w:p>
        </w:tc>
        <w:tc>
          <w:tcPr>
            <w:tcW w:w="4799" w:type="dxa"/>
            <w:gridSpan w:val="2"/>
            <w:tcBorders>
              <w:top w:val="none" w:color="auto" w:sz="0"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全員に改善が見られた</w:t>
            </w:r>
            <w:r>
              <w:rPr>
                <w:rFonts w:hint="eastAsia"/>
              </w:rPr>
              <w:t>(100</w:t>
            </w:r>
            <w:r>
              <w:rPr>
                <w:rFonts w:hint="eastAsia"/>
              </w:rPr>
              <w:t>％</w:t>
            </w:r>
            <w:r>
              <w:rPr>
                <w:rFonts w:hint="eastAsia"/>
              </w:rPr>
              <w:t>)</w:t>
            </w:r>
          </w:p>
        </w:tc>
        <w:tc>
          <w:tcPr>
            <w:tcW w:w="12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適切に保健指導が実施されたため。</w:t>
            </w:r>
          </w:p>
        </w:tc>
        <w:tc>
          <w:tcPr>
            <w:tcW w:w="1691" w:type="dxa"/>
            <w:vMerge w:val="restart"/>
            <w:vAlign w:val="top"/>
          </w:tcPr>
          <w:p>
            <w:pPr>
              <w:pStyle w:val="0"/>
              <w:rPr>
                <w:rFonts w:hint="default"/>
              </w:rPr>
            </w:pPr>
            <w:r>
              <w:rPr>
                <w:rFonts w:hint="eastAsia"/>
              </w:rPr>
              <w:t>AI</w:t>
            </w:r>
            <w:r>
              <w:rPr>
                <w:rFonts w:hint="eastAsia"/>
              </w:rPr>
              <w:t>を用いて対象者を複合的な要因で抽出したため、数値的にはまだ問題ないという理由で医師から指導不要と断られた人がいた。</w:t>
            </w: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330" w:hRule="atLeast"/>
        </w:trPr>
        <w:tc>
          <w:tcPr>
            <w:tcW w:w="482" w:type="dxa"/>
            <w:gridSpan w:val="2"/>
            <w:vMerge w:val="continue"/>
            <w:vAlign w:val="top"/>
          </w:tcPr>
          <w:p>
            <w:pPr>
              <w:pStyle w:val="0"/>
              <w:rPr>
                <w:rFonts w:hint="eastAsia"/>
              </w:rPr>
            </w:pPr>
          </w:p>
        </w:tc>
        <w:tc>
          <w:tcPr>
            <w:tcW w:w="1446" w:type="dxa"/>
            <w:vMerge w:val="continue"/>
            <w:vAlign w:val="top"/>
          </w:tcPr>
          <w:p>
            <w:pPr>
              <w:pStyle w:val="0"/>
              <w:rPr>
                <w:rFonts w:hint="eastAsia"/>
              </w:rPr>
            </w:pPr>
          </w:p>
        </w:tc>
        <w:tc>
          <w:tcPr>
            <w:tcW w:w="435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対象者の合意が得られた医療機関の数</w:t>
            </w:r>
          </w:p>
          <w:p>
            <w:pPr>
              <w:pStyle w:val="0"/>
              <w:rPr>
                <w:rFonts w:hint="eastAsia"/>
                <w:color w:val="auto"/>
              </w:rPr>
            </w:pPr>
          </w:p>
          <w:p>
            <w:pPr>
              <w:pStyle w:val="0"/>
              <w:rPr>
                <w:rFonts w:hint="eastAsia"/>
                <w:color w:val="auto"/>
              </w:rPr>
            </w:pPr>
          </w:p>
        </w:tc>
        <w:tc>
          <w:tcPr>
            <w:tcW w:w="15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３医療機関</w:t>
            </w:r>
          </w:p>
        </w:tc>
        <w:tc>
          <w:tcPr>
            <w:tcW w:w="2521" w:type="dxa"/>
            <w:tcBorders>
              <w:top w:val="dashSmallGap"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eastAsia"/>
                <w:color w:val="auto"/>
              </w:rPr>
            </w:pPr>
            <w:r>
              <w:rPr>
                <w:rFonts w:hint="eastAsia"/>
                <w:color w:val="auto"/>
              </w:rPr>
              <w:t>参加者確定後</w:t>
            </w:r>
          </w:p>
        </w:tc>
        <w:tc>
          <w:tcPr>
            <w:tcW w:w="4799" w:type="dxa"/>
            <w:gridSpan w:val="2"/>
            <w:tcBorders>
              <w:top w:val="dashSmallGap"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2</w:t>
            </w:r>
            <w:r>
              <w:rPr>
                <w:rFonts w:hint="eastAsia"/>
              </w:rPr>
              <w:t>医療機関から合意が得られた。</w:t>
            </w:r>
          </w:p>
        </w:tc>
        <w:tc>
          <w:tcPr>
            <w:tcW w:w="12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B</w:t>
            </w:r>
          </w:p>
        </w:tc>
        <w:tc>
          <w:tcPr>
            <w:tcW w:w="17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w:t>
            </w:r>
          </w:p>
        </w:tc>
        <w:tc>
          <w:tcPr>
            <w:tcW w:w="1691" w:type="dxa"/>
            <w:vMerge w:val="continue"/>
            <w:vAlign w:val="top"/>
          </w:tcPr>
          <w:p>
            <w:pPr>
              <w:pStyle w:val="0"/>
              <w:rPr>
                <w:rFonts w:hint="eastAsia"/>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r>
        <w:trPr>
          <w:trHeight w:val="330" w:hRule="atLeast"/>
        </w:trPr>
        <w:tc>
          <w:tcPr>
            <w:tcW w:w="482" w:type="dxa"/>
            <w:gridSpan w:val="2"/>
            <w:vMerge w:val="continue"/>
            <w:vAlign w:val="top"/>
          </w:tcPr>
          <w:p>
            <w:pPr>
              <w:pStyle w:val="0"/>
              <w:rPr>
                <w:rFonts w:hint="eastAsia"/>
              </w:rPr>
            </w:pPr>
          </w:p>
        </w:tc>
        <w:tc>
          <w:tcPr>
            <w:tcW w:w="1446" w:type="dxa"/>
            <w:vMerge w:val="continue"/>
            <w:vAlign w:val="top"/>
          </w:tcPr>
          <w:p>
            <w:pPr>
              <w:pStyle w:val="0"/>
              <w:rPr>
                <w:rFonts w:hint="eastAsia"/>
              </w:rPr>
            </w:pPr>
          </w:p>
        </w:tc>
        <w:tc>
          <w:tcPr>
            <w:tcW w:w="435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参加者の健康に関する意欲の変化</w:t>
            </w:r>
          </w:p>
        </w:tc>
        <w:tc>
          <w:tcPr>
            <w:tcW w:w="152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意欲あると答えたものが</w:t>
            </w:r>
            <w:r>
              <w:rPr>
                <w:rFonts w:hint="eastAsia"/>
              </w:rPr>
              <w:t>100</w:t>
            </w:r>
            <w:r>
              <w:rPr>
                <w:rFonts w:hint="eastAsia"/>
              </w:rPr>
              <w:t>％</w:t>
            </w:r>
          </w:p>
        </w:tc>
        <w:tc>
          <w:tcPr>
            <w:tcW w:w="2521" w:type="dxa"/>
            <w:tcBorders>
              <w:top w:val="dashSmallGap" w:color="auto" w:sz="4" w:space="0"/>
              <w:left w:val="none" w:color="auto" w:sz="0" w:space="0"/>
              <w:bottom w:val="dashSmallGap" w:color="auto" w:sz="4" w:space="0"/>
              <w:right w:val="single" w:color="2E74B4" w:themeColor="accent1" w:themeShade="BF" w:sz="18" w:space="0"/>
              <w:tl2br w:val="none" w:color="auto" w:sz="0" w:space="0"/>
              <w:tr2bl w:val="none" w:color="auto" w:sz="0" w:space="0"/>
            </w:tcBorders>
            <w:vAlign w:val="top"/>
          </w:tcPr>
          <w:p>
            <w:pPr>
              <w:pStyle w:val="0"/>
              <w:rPr>
                <w:rFonts w:hint="default"/>
              </w:rPr>
            </w:pPr>
            <w:r>
              <w:rPr>
                <w:rFonts w:hint="eastAsia"/>
              </w:rPr>
              <w:t>事業終了後（</w:t>
            </w:r>
            <w:r>
              <w:rPr>
                <w:rFonts w:hint="eastAsia"/>
              </w:rPr>
              <w:t>9</w:t>
            </w:r>
            <w:r>
              <w:rPr>
                <w:rFonts w:hint="eastAsia"/>
              </w:rPr>
              <w:t>月）</w:t>
            </w:r>
          </w:p>
        </w:tc>
        <w:tc>
          <w:tcPr>
            <w:tcW w:w="4799" w:type="dxa"/>
            <w:gridSpan w:val="2"/>
            <w:tcBorders>
              <w:top w:val="dashSmallGap" w:color="auto" w:sz="4" w:space="0"/>
              <w:left w:val="single" w:color="2E74B4" w:themeColor="accent1" w:themeShade="BF" w:sz="18"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全員に改善が見られた</w:t>
            </w:r>
            <w:r>
              <w:rPr>
                <w:rFonts w:hint="eastAsia"/>
              </w:rPr>
              <w:t>(100</w:t>
            </w:r>
            <w:r>
              <w:rPr>
                <w:rFonts w:hint="eastAsia"/>
              </w:rPr>
              <w:t>％</w:t>
            </w:r>
            <w:r>
              <w:rPr>
                <w:rFonts w:hint="eastAsia"/>
              </w:rPr>
              <w:t>)</w:t>
            </w:r>
          </w:p>
        </w:tc>
        <w:tc>
          <w:tcPr>
            <w:tcW w:w="12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A</w:t>
            </w:r>
          </w:p>
        </w:tc>
        <w:tc>
          <w:tcPr>
            <w:tcW w:w="172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適切に保健指導が実施されたため</w:t>
            </w:r>
          </w:p>
        </w:tc>
        <w:tc>
          <w:tcPr>
            <w:tcW w:w="1691" w:type="dxa"/>
            <w:vMerge w:val="continue"/>
            <w:vAlign w:val="top"/>
          </w:tcPr>
          <w:p>
            <w:pPr>
              <w:pStyle w:val="0"/>
              <w:rPr>
                <w:rFonts w:hint="eastAsia"/>
              </w:rPr>
            </w:pPr>
          </w:p>
        </w:tc>
        <w:tc>
          <w:tcPr>
            <w:tcW w:w="2609" w:type="dxa"/>
            <w:vMerge w:val="continue"/>
            <w:tcBorders>
              <w:top w:val="none" w:color="auto" w:sz="0" w:space="0"/>
              <w:left w:val="none" w:color="auto" w:sz="0" w:space="0"/>
              <w:bottom w:val="none" w:color="auto" w:sz="0" w:space="0"/>
              <w:right w:val="single" w:color="2E74B4" w:themeColor="accent1" w:themeShade="BF" w:sz="18" w:space="0"/>
              <w:tl2br w:val="none" w:color="auto" w:sz="0" w:space="0"/>
              <w:tr2bl w:val="none" w:color="auto" w:sz="0" w:space="0"/>
            </w:tcBorders>
            <w:vAlign w:val="top"/>
          </w:tcPr>
          <w:p>
            <w:pPr>
              <w:pStyle w:val="0"/>
              <w:rPr>
                <w:rFonts w:hint="eastAsia"/>
              </w:rPr>
            </w:pPr>
          </w:p>
        </w:tc>
      </w:tr>
    </w:tbl>
    <w:p>
      <w:pPr>
        <w:pStyle w:val="0"/>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823595</wp:posOffset>
                </wp:positionH>
                <wp:positionV relativeFrom="paragraph">
                  <wp:posOffset>-9416415</wp:posOffset>
                </wp:positionV>
                <wp:extent cx="12433300" cy="3086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33300" cy="3086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（長久手市</w:t>
                            </w:r>
                            <w:r>
                              <w:rPr>
                                <w:rFonts w:hint="default"/>
                                <w:b w:val="1"/>
                              </w:rPr>
                              <w:t>）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741.45pt;mso-position-vertical-relative:text;mso-position-horizontal-relative:text;v-text-anchor:middle;position:absolute;height:24.3pt;mso-wrap-distance-top:0pt;width:979pt;mso-wrap-distance-left:9pt;margin-left:64.84pt;z-index:2;" o:spid="_x0000_s1026" o:allowincell="t" o:allowoverlap="t" filled="t" fillcolor="#ffffff [3201]" stroked="t" strokecolor="#000000 [3213]" strokeweight="1pt" o:spt="1">
                <v:fill/>
                <v:stroke linestyle="single" miterlimit="8" endcap="flat" dashstyle="solid" filltype="solid"/>
                <v:textbox style="layout-flow:horizontal;">
                  <w:txbxContent>
                    <w:p>
                      <w:pPr>
                        <w:pStyle w:val="0"/>
                        <w:jc w:val="center"/>
                        <w:rPr>
                          <w:rFonts w:hint="default" w:asciiTheme="majorEastAsia" w:hAnsiTheme="majorEastAsia" w:eastAsiaTheme="majorEastAsia"/>
                        </w:rPr>
                      </w:pPr>
                      <w:r>
                        <w:rPr>
                          <w:rFonts w:hint="eastAsia"/>
                          <w:b w:val="1"/>
                        </w:rPr>
                        <w:t>個別保健事業計画・評価</w:t>
                      </w:r>
                      <w:r>
                        <w:rPr>
                          <w:rFonts w:hint="default"/>
                          <w:b w:val="1"/>
                        </w:rPr>
                        <w:t>　　</w:t>
                      </w:r>
                      <w:r>
                        <w:rPr>
                          <w:rFonts w:hint="eastAsia"/>
                          <w:b w:val="1"/>
                        </w:rPr>
                        <w:t>　</w:t>
                      </w:r>
                      <w:r>
                        <w:rPr>
                          <w:rFonts w:hint="default"/>
                          <w:b w:val="1"/>
                        </w:rPr>
                        <w:t>　保険者名</w:t>
                      </w:r>
                      <w:r>
                        <w:rPr>
                          <w:rFonts w:hint="eastAsia"/>
                          <w:b w:val="1"/>
                        </w:rPr>
                        <w:t>（長久手市</w:t>
                      </w:r>
                      <w:r>
                        <w:rPr>
                          <w:rFonts w:hint="default"/>
                          <w:b w:val="1"/>
                        </w:rPr>
                        <w:t>）　　</w:t>
                      </w:r>
                      <w:r>
                        <w:rPr>
                          <w:rFonts w:hint="eastAsia"/>
                          <w:b w:val="1"/>
                        </w:rPr>
                        <w:t>国保ヘルスアップ事業</w:t>
                      </w:r>
                      <w:r>
                        <w:rPr>
                          <w:rFonts w:hint="default"/>
                          <w:b w:val="1"/>
                        </w:rPr>
                        <w:t>申請　有（</w:t>
                      </w:r>
                      <w:sdt>
                        <w:sdtPr>
                          <w:rPr>
                            <w:rFonts w:hint="default"/>
                            <w:b w:val="1"/>
                          </w:rPr>
                          <w:id w:val="-5075257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A</w:t>
                      </w:r>
                      <w:r>
                        <w:rPr>
                          <w:rFonts w:hint="default"/>
                          <w:b w:val="1"/>
                        </w:rPr>
                        <w:t>　</w:t>
                      </w:r>
                      <w:r>
                        <w:rPr>
                          <w:rFonts w:hint="eastAsia"/>
                          <w:b w:val="1"/>
                        </w:rPr>
                        <w:t>　</w:t>
                      </w:r>
                      <w:sdt>
                        <w:sdtPr>
                          <w:rPr>
                            <w:rFonts w:hint="eastAsia"/>
                            <w:b w:val="1"/>
                          </w:rPr>
                          <w:id w:val="623426377"/>
                          <w14:checkbox>
                            <w14:checked/>
                            <w14:checkedState w14:font="Wingdings" w14:val="00FE"/>
                            <w14:uncheckedState w14:font="ＭＳ ゴシック" w14:val="2610"/>
                          </w14:checkbox>
                        </w:sdtPr>
                        <w:sdtEndPr>
                          <w:rPr>
                            <w:rFonts w:hint="default"/>
                          </w:rPr>
                        </w:sdtEndPr>
                        <w:sdtContent>
                          <w:r>
                            <w:rPr>
                              <w:rFonts w:hint="eastAsia" w:eastAsia="Wingdings"/>
                              <w:b w:val="1"/>
                            </w:rPr>
                            <w:sym w:font="Wingdings" w:char="00FE"/>
                          </w:r>
                        </w:sdtContent>
                      </w:sdt>
                      <w:r>
                        <w:rPr>
                          <w:rFonts w:hint="default"/>
                          <w:b w:val="1"/>
                        </w:rPr>
                        <w:t xml:space="preserve"> B</w:t>
                      </w:r>
                      <w:r>
                        <w:rPr>
                          <w:rFonts w:hint="default"/>
                          <w:b w:val="1"/>
                        </w:rPr>
                        <w:t>　</w:t>
                      </w:r>
                      <w:r>
                        <w:rPr>
                          <w:rFonts w:hint="eastAsia"/>
                          <w:b w:val="1"/>
                        </w:rPr>
                        <w:t>　</w:t>
                      </w:r>
                      <w:sdt>
                        <w:sdtPr>
                          <w:rPr>
                            <w:rFonts w:hint="default"/>
                            <w:b w:val="1"/>
                          </w:rPr>
                          <w:id w:val="9963810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C</w:t>
                      </w:r>
                      <w:r>
                        <w:rPr>
                          <w:rFonts w:hint="eastAsia"/>
                          <w:b w:val="1"/>
                        </w:rPr>
                        <w:t>　）</w:t>
                      </w:r>
                      <w:r>
                        <w:rPr>
                          <w:rFonts w:hint="default"/>
                          <w:b w:val="1"/>
                        </w:rPr>
                        <w:t>　</w:t>
                      </w:r>
                      <w:sdt>
                        <w:sdtPr>
                          <w:rPr>
                            <w:rFonts w:hint="eastAsia"/>
                            <w:b w:val="1"/>
                          </w:rPr>
                          <w:id w:val="139924266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b w:val="1"/>
                            </w:rPr>
                            <w:t>☐</w:t>
                          </w:r>
                        </w:sdtContent>
                      </w:sdt>
                      <w:r>
                        <w:rPr>
                          <w:rFonts w:hint="default"/>
                          <w:b w:val="1"/>
                        </w:rPr>
                        <w:t xml:space="preserve"> </w:t>
                      </w:r>
                      <w:r>
                        <w:rPr>
                          <w:rFonts w:hint="eastAsia"/>
                          <w:b w:val="1"/>
                        </w:rPr>
                        <w:t>無</w:t>
                      </w:r>
                      <w:r>
                        <w:rPr>
                          <w:rFonts w:hint="default"/>
                          <w:b w:val="1"/>
                        </w:rPr>
                        <w:t>　</w:t>
                      </w:r>
                      <w:r>
                        <w:rPr>
                          <w:rFonts w:hint="default"/>
                          <w:b w:val="1"/>
                          <w:color w:val="FF0000"/>
                        </w:rPr>
                        <w:t>　</w:t>
                      </w:r>
                      <w:r>
                        <w:rPr>
                          <w:rFonts w:hint="default"/>
                        </w:rPr>
                        <w:t>　</w:t>
                      </w:r>
                      <w:r>
                        <w:rPr>
                          <w:rFonts w:hint="default" w:asciiTheme="majorEastAsia" w:hAnsiTheme="majorEastAsia" w:eastAsiaTheme="majorEastAsia"/>
                        </w:rPr>
                        <w:t>注：青の</w:t>
                      </w:r>
                      <w:r>
                        <w:rPr>
                          <w:rFonts w:hint="eastAsia" w:asciiTheme="majorEastAsia" w:hAnsiTheme="majorEastAsia" w:eastAsiaTheme="majorEastAsia"/>
                        </w:rPr>
                        <w:t>囲み部分は</w:t>
                      </w:r>
                      <w:r>
                        <w:rPr>
                          <w:rFonts w:hint="default" w:asciiTheme="majorEastAsia" w:hAnsiTheme="majorEastAsia" w:eastAsiaTheme="majorEastAsia"/>
                        </w:rPr>
                        <w:t>事業実施後</w:t>
                      </w:r>
                      <w:r>
                        <w:rPr>
                          <w:rFonts w:hint="eastAsia" w:asciiTheme="majorEastAsia" w:hAnsiTheme="majorEastAsia" w:eastAsiaTheme="majorEastAsia"/>
                        </w:rPr>
                        <w:t>の</w:t>
                      </w:r>
                      <w:r>
                        <w:rPr>
                          <w:rFonts w:hint="default" w:asciiTheme="majorEastAsia" w:hAnsiTheme="majorEastAsia" w:eastAsiaTheme="majorEastAsia"/>
                        </w:rPr>
                        <w:t>評価時に記載</w:t>
                      </w:r>
                    </w:p>
                  </w:txbxContent>
                </v:textbox>
                <v:imagedata o:title=""/>
                <w10:wrap type="none" anchorx="text" anchory="text"/>
              </v:rect>
            </w:pict>
          </mc:Fallback>
        </mc:AlternateContent>
      </w:r>
      <w:bookmarkStart w:id="0" w:name="_GoBack"/>
      <w:bookmarkEnd w:id="0"/>
    </w:p>
    <w:sectPr>
      <w:pgSz w:w="23814" w:h="16839"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50</Words>
  <Characters>2291</Characters>
  <Application>JUST Note</Application>
  <Lines>221</Lines>
  <Paragraphs>109</Paragraphs>
  <CharactersWithSpaces>2340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河合</dc:creator>
  <cp:lastModifiedBy>橋本 賢治</cp:lastModifiedBy>
  <cp:lastPrinted>2022-01-31T05:49:29Z</cp:lastPrinted>
  <dcterms:created xsi:type="dcterms:W3CDTF">2021-04-01T06:43:00Z</dcterms:created>
  <dcterms:modified xsi:type="dcterms:W3CDTF">2022-02-04T11:31:43Z</dcterms:modified>
  <cp:revision>13</cp:revision>
</cp:coreProperties>
</file>