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22388" w:type="dxa"/>
        <w:tblInd w:w="0" w:type="dxa"/>
        <w:tblLayout w:type="fixed"/>
        <w:tblLook w:firstRow="1" w:lastRow="0" w:firstColumn="1" w:lastColumn="0" w:noHBand="0" w:noVBand="1" w:val="04A0"/>
      </w:tblPr>
      <w:tblGrid>
        <w:gridCol w:w="442"/>
        <w:gridCol w:w="40"/>
        <w:gridCol w:w="1446"/>
        <w:gridCol w:w="4357"/>
        <w:gridCol w:w="1528"/>
        <w:gridCol w:w="2521"/>
        <w:gridCol w:w="1852"/>
        <w:gridCol w:w="2947"/>
        <w:gridCol w:w="1233"/>
        <w:gridCol w:w="1722"/>
        <w:gridCol w:w="1691"/>
        <w:gridCol w:w="2609"/>
      </w:tblGrid>
      <w:tr>
        <w:trPr>
          <w:trHeight w:val="416" w:hRule="atLeast"/>
        </w:trPr>
        <w:tc>
          <w:tcPr>
            <w:tcW w:w="1928"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事業名【</w:t>
            </w:r>
            <w:r>
              <w:rPr>
                <w:rFonts w:hint="eastAsia" w:asciiTheme="majorEastAsia" w:hAnsiTheme="majorEastAsia" w:eastAsiaTheme="majorEastAsia"/>
                <w:sz w:val="20"/>
              </w:rPr>
              <w:t>R3</w:t>
            </w:r>
            <w:r>
              <w:rPr>
                <w:rFonts w:hint="eastAsia" w:asciiTheme="majorEastAsia" w:hAnsiTheme="majorEastAsia" w:eastAsiaTheme="majorEastAsia"/>
                <w:sz w:val="20"/>
              </w:rPr>
              <w:t>年度】</w:t>
            </w:r>
          </w:p>
        </w:tc>
        <w:tc>
          <w:tcPr>
            <w:tcW w:w="20460" w:type="dxa"/>
            <w:gridSpan w:val="9"/>
            <w:vAlign w:val="top"/>
          </w:tcPr>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-1267460</wp:posOffset>
                      </wp:positionH>
                      <wp:positionV relativeFrom="paragraph">
                        <wp:posOffset>-429895</wp:posOffset>
                      </wp:positionV>
                      <wp:extent cx="12433300" cy="30861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2433300" cy="308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Theme="majorEastAsia" w:hAnsiTheme="majorEastAsia" w:eastAsiaTheme="majorEastAsia"/>
                                    </w:rPr>
                                  </w:pPr>
                                  <w:r>
                                    <w:rPr>
                                      <w:rFonts w:hint="eastAsia"/>
                                      <w:b w:val="1"/>
                                    </w:rPr>
                                    <w:t>個別保健事業計画・評価</w:t>
                                  </w:r>
                                  <w:r>
                                    <w:rPr>
                                      <w:rFonts w:hint="default"/>
                                      <w:b w:val="1"/>
                                    </w:rPr>
                                    <w:t>　　</w:t>
                                  </w:r>
                                  <w:r>
                                    <w:rPr>
                                      <w:rFonts w:hint="eastAsia"/>
                                      <w:b w:val="1"/>
                                    </w:rPr>
                                    <w:t>　</w:t>
                                  </w:r>
                                  <w:r>
                                    <w:rPr>
                                      <w:rFonts w:hint="default"/>
                                      <w:b w:val="1"/>
                                    </w:rPr>
                                    <w:t>　保険者名</w:t>
                                  </w:r>
                                  <w:r>
                                    <w:rPr>
                                      <w:rFonts w:hint="eastAsia"/>
                                      <w:b w:val="1"/>
                                    </w:rPr>
                                    <w:t>（長久手市</w:t>
                                  </w:r>
                                  <w:r>
                                    <w:rPr>
                                      <w:rFonts w:hint="default"/>
                                      <w:b w:val="1"/>
                                    </w:rPr>
                                    <w:t>）　　</w:t>
                                  </w:r>
                                  <w:r>
                                    <w:rPr>
                                      <w:rFonts w:hint="eastAsia"/>
                                      <w:b w:val="1"/>
                                    </w:rPr>
                                    <w:t>国保ヘルスアップ事業</w:t>
                                  </w:r>
                                  <w:r>
                                    <w:rPr>
                                      <w:rFonts w:hint="default"/>
                                      <w:b w:val="1"/>
                                    </w:rPr>
                                    <w:t>申請　有（</w:t>
                                  </w:r>
                                  <w:sdt>
                                    <w:sdtPr>
                                      <w:rPr>
                                        <w:rFonts w:hint="default"/>
                                        <w:b w:val="1"/>
                                      </w:rPr>
                                      <w:id w:val="-507525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A</w:t>
                                  </w:r>
                                  <w:r>
                                    <w:rPr>
                                      <w:rFonts w:hint="default"/>
                                      <w:b w:val="1"/>
                                    </w:rPr>
                                    <w:t>　</w:t>
                                  </w:r>
                                  <w:r>
                                    <w:rPr>
                                      <w:rFonts w:hint="eastAsia"/>
                                      <w:b w:val="1"/>
                                    </w:rPr>
                                    <w:t>　</w:t>
                                  </w:r>
                                  <w:sdt>
                                    <w:sdtPr>
                                      <w:rPr>
                                        <w:rFonts w:hint="eastAsia"/>
                                        <w:b w:val="1"/>
                                      </w:rPr>
                                      <w:id w:val="623426377"/>
                                      <w14:checkbox>
                                        <w14:checked/>
                                        <w14:checkedState w14:font="Wingdings" w14:val="00FE"/>
                                        <w14:uncheckedState w14:font="ＭＳ ゴシック" w14:val="2610"/>
                                      </w14:checkbox>
                                    </w:sdtPr>
                                    <w:sdtEndPr>
                                      <w:rPr>
                                        <w:rFonts w:hint="default"/>
                                      </w:rPr>
                                    </w:sdtEndPr>
                                    <w:sdtContent>
                                      <w:r>
                                        <w:rPr>
                                          <w:rFonts w:hint="eastAsia" w:eastAsia="Wingdings"/>
                                          <w:b w:val="1"/>
                                        </w:rPr>
                                        <w:sym w:font="Wingdings" w:char="00FE"/>
                                      </w:r>
                                    </w:sdtContent>
                                  </w:sdt>
                                  <w:r>
                                    <w:rPr>
                                      <w:rFonts w:hint="default"/>
                                      <w:b w:val="1"/>
                                    </w:rPr>
                                    <w:t xml:space="preserve"> B</w:t>
                                  </w:r>
                                  <w:r>
                                    <w:rPr>
                                      <w:rFonts w:hint="default"/>
                                      <w:b w:val="1"/>
                                    </w:rPr>
                                    <w:t>　</w:t>
                                  </w:r>
                                  <w:r>
                                    <w:rPr>
                                      <w:rFonts w:hint="eastAsia"/>
                                      <w:b w:val="1"/>
                                    </w:rPr>
                                    <w:t>　</w:t>
                                  </w:r>
                                  <w:sdt>
                                    <w:sdtPr>
                                      <w:rPr>
                                        <w:rFonts w:hint="default"/>
                                        <w:b w:val="1"/>
                                      </w:rPr>
                                      <w:id w:val="996381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C</w:t>
                                  </w:r>
                                  <w:r>
                                    <w:rPr>
                                      <w:rFonts w:hint="eastAsia"/>
                                      <w:b w:val="1"/>
                                    </w:rPr>
                                    <w:t>　）</w:t>
                                  </w:r>
                                  <w:r>
                                    <w:rPr>
                                      <w:rFonts w:hint="default"/>
                                      <w:b w:val="1"/>
                                    </w:rPr>
                                    <w:t>　</w:t>
                                  </w:r>
                                  <w:sdt>
                                    <w:sdtPr>
                                      <w:rPr>
                                        <w:rFonts w:hint="eastAsia"/>
                                        <w:b w:val="1"/>
                                      </w:rPr>
                                      <w:id w:val="13992426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無</w:t>
                                  </w:r>
                                  <w:r>
                                    <w:rPr>
                                      <w:rFonts w:hint="default"/>
                                      <w:b w:val="1"/>
                                    </w:rPr>
                                    <w:t>　</w:t>
                                  </w:r>
                                  <w:r>
                                    <w:rPr>
                                      <w:rFonts w:hint="default"/>
                                      <w:b w:val="1"/>
                                      <w:color w:val="FF0000"/>
                                    </w:rPr>
                                    <w:t>　</w:t>
                                  </w:r>
                                  <w:r>
                                    <w:rPr>
                                      <w:rFonts w:hint="default"/>
                                    </w:rPr>
                                    <w:t>　</w:t>
                                  </w:r>
                                  <w:r>
                                    <w:rPr>
                                      <w:rFonts w:hint="default" w:asciiTheme="majorEastAsia" w:hAnsiTheme="majorEastAsia" w:eastAsiaTheme="majorEastAsia"/>
                                    </w:rPr>
                                    <w:t>注：青の</w:t>
                                  </w:r>
                                  <w:r>
                                    <w:rPr>
                                      <w:rFonts w:hint="eastAsia" w:asciiTheme="majorEastAsia" w:hAnsiTheme="majorEastAsia" w:eastAsiaTheme="majorEastAsia"/>
                                    </w:rPr>
                                    <w:t>囲み部分は</w:t>
                                  </w:r>
                                  <w:r>
                                    <w:rPr>
                                      <w:rFonts w:hint="default" w:asciiTheme="majorEastAsia" w:hAnsiTheme="majorEastAsia" w:eastAsiaTheme="majorEastAsia"/>
                                    </w:rPr>
                                    <w:t>事業実施後</w:t>
                                  </w:r>
                                  <w:r>
                                    <w:rPr>
                                      <w:rFonts w:hint="eastAsia" w:asciiTheme="majorEastAsia" w:hAnsiTheme="majorEastAsia" w:eastAsiaTheme="majorEastAsia"/>
                                    </w:rPr>
                                    <w:t>の</w:t>
                                  </w:r>
                                  <w:r>
                                    <w:rPr>
                                      <w:rFonts w:hint="default" w:asciiTheme="majorEastAsia" w:hAnsiTheme="majorEastAsia" w:eastAsiaTheme="majorEastAsia"/>
                                    </w:rPr>
                                    <w:t>評価時に記載</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33.85pt;mso-position-vertical-relative:text;mso-position-horizontal-relative:text;v-text-anchor:middle;position:absolute;height:24.3pt;mso-wrap-distance-top:0pt;width:979pt;mso-wrap-distance-left:9pt;margin-left:-99.8pt;z-index:2;" o:spid="_x0000_s1026" o:allowincell="t" o:allowoverlap="t" filled="t" fillcolor="#ffffff [3201]" stroked="t" strokecolor="#000000 [3213]" strokeweight="1pt" o:spt="1">
                      <v:fill/>
                      <v:stroke linestyle="single" miterlimit="8" endcap="flat" dashstyle="solid" filltype="solid"/>
                      <v:textbox style="layout-flow:horizontal;">
                        <w:txbxContent>
                          <w:p>
                            <w:pPr>
                              <w:pStyle w:val="0"/>
                              <w:jc w:val="center"/>
                              <w:rPr>
                                <w:rFonts w:hint="default" w:asciiTheme="majorEastAsia" w:hAnsiTheme="majorEastAsia" w:eastAsiaTheme="majorEastAsia"/>
                              </w:rPr>
                            </w:pPr>
                            <w:r>
                              <w:rPr>
                                <w:rFonts w:hint="eastAsia"/>
                                <w:b w:val="1"/>
                              </w:rPr>
                              <w:t>個別保健事業計画・評価</w:t>
                            </w:r>
                            <w:r>
                              <w:rPr>
                                <w:rFonts w:hint="default"/>
                                <w:b w:val="1"/>
                              </w:rPr>
                              <w:t>　　</w:t>
                            </w:r>
                            <w:r>
                              <w:rPr>
                                <w:rFonts w:hint="eastAsia"/>
                                <w:b w:val="1"/>
                              </w:rPr>
                              <w:t>　</w:t>
                            </w:r>
                            <w:r>
                              <w:rPr>
                                <w:rFonts w:hint="default"/>
                                <w:b w:val="1"/>
                              </w:rPr>
                              <w:t>　保険者名</w:t>
                            </w:r>
                            <w:r>
                              <w:rPr>
                                <w:rFonts w:hint="eastAsia"/>
                                <w:b w:val="1"/>
                              </w:rPr>
                              <w:t>（長久手市</w:t>
                            </w:r>
                            <w:r>
                              <w:rPr>
                                <w:rFonts w:hint="default"/>
                                <w:b w:val="1"/>
                              </w:rPr>
                              <w:t>）　　</w:t>
                            </w:r>
                            <w:r>
                              <w:rPr>
                                <w:rFonts w:hint="eastAsia"/>
                                <w:b w:val="1"/>
                              </w:rPr>
                              <w:t>国保ヘルスアップ事業</w:t>
                            </w:r>
                            <w:r>
                              <w:rPr>
                                <w:rFonts w:hint="default"/>
                                <w:b w:val="1"/>
                              </w:rPr>
                              <w:t>申請　有（</w:t>
                            </w:r>
                            <w:sdt>
                              <w:sdtPr>
                                <w:rPr>
                                  <w:rFonts w:hint="default"/>
                                  <w:b w:val="1"/>
                                </w:rPr>
                                <w:id w:val="-507525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A</w:t>
                            </w:r>
                            <w:r>
                              <w:rPr>
                                <w:rFonts w:hint="default"/>
                                <w:b w:val="1"/>
                              </w:rPr>
                              <w:t>　</w:t>
                            </w:r>
                            <w:r>
                              <w:rPr>
                                <w:rFonts w:hint="eastAsia"/>
                                <w:b w:val="1"/>
                              </w:rPr>
                              <w:t>　</w:t>
                            </w:r>
                            <w:sdt>
                              <w:sdtPr>
                                <w:rPr>
                                  <w:rFonts w:hint="eastAsia"/>
                                  <w:b w:val="1"/>
                                </w:rPr>
                                <w:id w:val="623426377"/>
                                <w14:checkbox>
                                  <w14:checked/>
                                  <w14:checkedState w14:font="Wingdings" w14:val="00FE"/>
                                  <w14:uncheckedState w14:font="ＭＳ ゴシック" w14:val="2610"/>
                                </w14:checkbox>
                              </w:sdtPr>
                              <w:sdtEndPr>
                                <w:rPr>
                                  <w:rFonts w:hint="default"/>
                                </w:rPr>
                              </w:sdtEndPr>
                              <w:sdtContent>
                                <w:r>
                                  <w:rPr>
                                    <w:rFonts w:hint="eastAsia" w:eastAsia="Wingdings"/>
                                    <w:b w:val="1"/>
                                  </w:rPr>
                                  <w:sym w:font="Wingdings" w:char="00FE"/>
                                </w:r>
                              </w:sdtContent>
                            </w:sdt>
                            <w:r>
                              <w:rPr>
                                <w:rFonts w:hint="default"/>
                                <w:b w:val="1"/>
                              </w:rPr>
                              <w:t xml:space="preserve"> B</w:t>
                            </w:r>
                            <w:r>
                              <w:rPr>
                                <w:rFonts w:hint="default"/>
                                <w:b w:val="1"/>
                              </w:rPr>
                              <w:t>　</w:t>
                            </w:r>
                            <w:r>
                              <w:rPr>
                                <w:rFonts w:hint="eastAsia"/>
                                <w:b w:val="1"/>
                              </w:rPr>
                              <w:t>　</w:t>
                            </w:r>
                            <w:sdt>
                              <w:sdtPr>
                                <w:rPr>
                                  <w:rFonts w:hint="default"/>
                                  <w:b w:val="1"/>
                                </w:rPr>
                                <w:id w:val="996381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C</w:t>
                            </w:r>
                            <w:r>
                              <w:rPr>
                                <w:rFonts w:hint="eastAsia"/>
                                <w:b w:val="1"/>
                              </w:rPr>
                              <w:t>　）</w:t>
                            </w:r>
                            <w:r>
                              <w:rPr>
                                <w:rFonts w:hint="default"/>
                                <w:b w:val="1"/>
                              </w:rPr>
                              <w:t>　</w:t>
                            </w:r>
                            <w:sdt>
                              <w:sdtPr>
                                <w:rPr>
                                  <w:rFonts w:hint="eastAsia"/>
                                  <w:b w:val="1"/>
                                </w:rPr>
                                <w:id w:val="13992426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無</w:t>
                            </w:r>
                            <w:r>
                              <w:rPr>
                                <w:rFonts w:hint="default"/>
                                <w:b w:val="1"/>
                              </w:rPr>
                              <w:t>　</w:t>
                            </w:r>
                            <w:r>
                              <w:rPr>
                                <w:rFonts w:hint="default"/>
                                <w:b w:val="1"/>
                                <w:color w:val="FF0000"/>
                              </w:rPr>
                              <w:t>　</w:t>
                            </w:r>
                            <w:r>
                              <w:rPr>
                                <w:rFonts w:hint="default"/>
                              </w:rPr>
                              <w:t>　</w:t>
                            </w:r>
                            <w:r>
                              <w:rPr>
                                <w:rFonts w:hint="default" w:asciiTheme="majorEastAsia" w:hAnsiTheme="majorEastAsia" w:eastAsiaTheme="majorEastAsia"/>
                              </w:rPr>
                              <w:t>注：青の</w:t>
                            </w:r>
                            <w:r>
                              <w:rPr>
                                <w:rFonts w:hint="eastAsia" w:asciiTheme="majorEastAsia" w:hAnsiTheme="majorEastAsia" w:eastAsiaTheme="majorEastAsia"/>
                              </w:rPr>
                              <w:t>囲み部分は</w:t>
                            </w:r>
                            <w:r>
                              <w:rPr>
                                <w:rFonts w:hint="default" w:asciiTheme="majorEastAsia" w:hAnsiTheme="majorEastAsia" w:eastAsiaTheme="majorEastAsia"/>
                              </w:rPr>
                              <w:t>事業実施後</w:t>
                            </w:r>
                            <w:r>
                              <w:rPr>
                                <w:rFonts w:hint="eastAsia" w:asciiTheme="majorEastAsia" w:hAnsiTheme="majorEastAsia" w:eastAsiaTheme="majorEastAsia"/>
                              </w:rPr>
                              <w:t>の</w:t>
                            </w:r>
                            <w:r>
                              <w:rPr>
                                <w:rFonts w:hint="default" w:asciiTheme="majorEastAsia" w:hAnsiTheme="majorEastAsia" w:eastAsiaTheme="majorEastAsia"/>
                              </w:rPr>
                              <w:t>評価時に記載</w:t>
                            </w:r>
                          </w:p>
                        </w:txbxContent>
                      </v:textbox>
                      <v:imagedata o:title=""/>
                      <w10:wrap type="none" anchorx="text" anchory="text"/>
                    </v:rect>
                  </w:pict>
                </mc:Fallback>
              </mc:AlternateContent>
            </w:r>
            <w:r>
              <w:rPr>
                <w:rFonts w:hint="eastAsia"/>
              </w:rPr>
              <w:t>医療機関受診勧奨</w:t>
            </w:r>
          </w:p>
        </w:tc>
      </w:tr>
      <w:tr>
        <w:trPr>
          <w:trHeight w:val="1221" w:hRule="atLeast"/>
        </w:trPr>
        <w:tc>
          <w:tcPr>
            <w:tcW w:w="1928" w:type="dxa"/>
            <w:gridSpan w:val="3"/>
            <w:vAlign w:val="top"/>
          </w:tcPr>
          <w:p>
            <w:pPr>
              <w:pStyle w:val="0"/>
              <w:rPr>
                <w:rFonts w:hint="default" w:asciiTheme="majorEastAsia" w:hAnsiTheme="majorEastAsia" w:eastAsiaTheme="majorEastAsia"/>
                <w:sz w:val="20"/>
              </w:rPr>
            </w:pPr>
            <w:r>
              <w:rPr>
                <w:rFonts w:hint="eastAsia"/>
                <w:sz w:val="20"/>
              </w:rPr>
              <w:t>背景（データヘルス計画との関係性・健康課題・計画での位置づけ）</w:t>
            </w:r>
          </w:p>
        </w:tc>
        <w:tc>
          <w:tcPr>
            <w:tcW w:w="20460" w:type="dxa"/>
            <w:gridSpan w:val="9"/>
            <w:vAlign w:val="top"/>
          </w:tcPr>
          <w:p>
            <w:pPr>
              <w:pStyle w:val="0"/>
              <w:rPr>
                <w:rFonts w:hint="default"/>
                <w:color w:val="000000" w:themeColor="text1"/>
              </w:rPr>
            </w:pPr>
            <w:r>
              <w:rPr>
                <w:rFonts w:hint="eastAsia"/>
                <w:color w:val="000000" w:themeColor="text1"/>
              </w:rPr>
              <w:t>①健診は毎年受けていて、保健指導の対象となっているが、保健指導や医療機関の受診がなく、悪化している人がいる。</w:t>
            </w:r>
          </w:p>
          <w:p>
            <w:pPr>
              <w:pStyle w:val="0"/>
              <w:rPr>
                <w:rFonts w:hint="default"/>
                <w:color w:val="000000" w:themeColor="text1"/>
              </w:rPr>
            </w:pPr>
            <w:r>
              <w:rPr>
                <w:rFonts w:hint="eastAsia"/>
                <w:color w:val="000000" w:themeColor="text1"/>
              </w:rPr>
              <w:t>②糖尿病の治療（血糖値のコントロール）は継続して行う必要があるが、数値が改善したために自己判断で治療を中断してしまい、結局悪化してしまう人がいる。</w:t>
            </w:r>
          </w:p>
          <w:p>
            <w:pPr>
              <w:pStyle w:val="0"/>
              <w:rPr>
                <w:rFonts w:hint="default"/>
                <w:color w:val="000000" w:themeColor="text1"/>
              </w:rPr>
            </w:pPr>
            <w:r>
              <w:rPr>
                <w:rFonts w:hint="eastAsia"/>
                <w:color w:val="000000" w:themeColor="text1"/>
              </w:rPr>
              <w:t>令和</w:t>
            </w:r>
            <w:r>
              <w:rPr>
                <w:rFonts w:hint="eastAsia"/>
                <w:color w:val="000000" w:themeColor="text1"/>
              </w:rPr>
              <w:t>2</w:t>
            </w:r>
            <w:r>
              <w:rPr>
                <w:rFonts w:hint="eastAsia"/>
                <w:color w:val="000000" w:themeColor="text1"/>
              </w:rPr>
              <w:t>年度に実施した受診勧奨通知</w:t>
            </w:r>
            <w:r>
              <w:rPr>
                <w:rFonts w:hint="eastAsia"/>
                <w:color w:val="000000" w:themeColor="text1"/>
              </w:rPr>
              <w:t>(</w:t>
            </w:r>
            <w:r>
              <w:rPr>
                <w:rFonts w:hint="eastAsia"/>
                <w:color w:val="000000" w:themeColor="text1"/>
              </w:rPr>
              <w:t>放置</w:t>
            </w:r>
            <w:r>
              <w:rPr>
                <w:rFonts w:hint="eastAsia"/>
                <w:color w:val="000000" w:themeColor="text1"/>
              </w:rPr>
              <w:t>)</w:t>
            </w:r>
            <w:r>
              <w:rPr>
                <w:rFonts w:hint="eastAsia"/>
                <w:color w:val="000000" w:themeColor="text1"/>
              </w:rPr>
              <w:t>の通知対象者</w:t>
            </w:r>
            <w:r>
              <w:rPr>
                <w:rFonts w:hint="eastAsia"/>
                <w:color w:val="000000" w:themeColor="text1"/>
              </w:rPr>
              <w:t>117</w:t>
            </w:r>
            <w:r>
              <w:rPr>
                <w:rFonts w:hint="eastAsia"/>
                <w:color w:val="000000" w:themeColor="text1"/>
              </w:rPr>
              <w:t>名を性別にみると女性の割合がやや多く、年代では</w:t>
            </w:r>
            <w:r>
              <w:rPr>
                <w:rFonts w:hint="eastAsia"/>
                <w:color w:val="000000" w:themeColor="text1"/>
              </w:rPr>
              <w:t>60</w:t>
            </w:r>
            <w:r>
              <w:rPr>
                <w:rFonts w:hint="eastAsia"/>
                <w:color w:val="000000" w:themeColor="text1"/>
              </w:rPr>
              <w:t>代の対象者が多い。リスク別にみると、脂質リスク者が多い。</w:t>
            </w:r>
          </w:p>
          <w:p>
            <w:pPr>
              <w:pStyle w:val="0"/>
              <w:rPr>
                <w:rFonts w:hint="default"/>
                <w:color w:val="000000" w:themeColor="text1"/>
              </w:rPr>
            </w:pPr>
            <w:r>
              <w:rPr>
                <w:rFonts w:hint="eastAsia"/>
                <w:color w:val="000000" w:themeColor="text1"/>
              </w:rPr>
              <w:t>【令和</w:t>
            </w:r>
            <w:r>
              <w:rPr>
                <w:rFonts w:hint="eastAsia"/>
                <w:color w:val="000000" w:themeColor="text1"/>
              </w:rPr>
              <w:t>2</w:t>
            </w:r>
            <w:r>
              <w:rPr>
                <w:rFonts w:hint="eastAsia"/>
                <w:color w:val="000000" w:themeColor="text1"/>
              </w:rPr>
              <w:t>年度実績】受診勧奨対象者　</w:t>
            </w:r>
            <w:r>
              <w:rPr>
                <w:rFonts w:hint="eastAsia"/>
                <w:color w:val="000000" w:themeColor="text1"/>
              </w:rPr>
              <w:t>117</w:t>
            </w:r>
            <w:r>
              <w:rPr>
                <w:rFonts w:hint="eastAsia"/>
                <w:color w:val="000000" w:themeColor="text1"/>
              </w:rPr>
              <w:t>人　受診勧奨通知件数　</w:t>
            </w:r>
            <w:r>
              <w:rPr>
                <w:rFonts w:hint="eastAsia"/>
                <w:color w:val="000000" w:themeColor="text1"/>
              </w:rPr>
              <w:t>117</w:t>
            </w:r>
            <w:r>
              <w:rPr>
                <w:rFonts w:hint="eastAsia"/>
                <w:color w:val="000000" w:themeColor="text1"/>
              </w:rPr>
              <w:t>件（</w:t>
            </w:r>
            <w:r>
              <w:rPr>
                <w:rFonts w:hint="eastAsia"/>
                <w:color w:val="000000" w:themeColor="text1"/>
              </w:rPr>
              <w:t>100</w:t>
            </w:r>
            <w:r>
              <w:rPr>
                <w:rFonts w:hint="eastAsia"/>
                <w:color w:val="000000" w:themeColor="text1"/>
              </w:rPr>
              <w:t>％）　受診勧奨者のうち、医療機関を受診した人　</w:t>
            </w:r>
            <w:r>
              <w:rPr>
                <w:rFonts w:hint="eastAsia"/>
                <w:color w:val="000000" w:themeColor="text1"/>
              </w:rPr>
              <w:t>19</w:t>
            </w:r>
            <w:r>
              <w:rPr>
                <w:rFonts w:hint="eastAsia"/>
                <w:color w:val="000000" w:themeColor="text1"/>
              </w:rPr>
              <w:t>人（</w:t>
            </w:r>
            <w:r>
              <w:rPr>
                <w:rFonts w:hint="eastAsia"/>
                <w:color w:val="000000" w:themeColor="text1"/>
              </w:rPr>
              <w:t>17.9</w:t>
            </w:r>
            <w:r>
              <w:rPr>
                <w:rFonts w:hint="eastAsia"/>
                <w:color w:val="000000" w:themeColor="text1"/>
              </w:rPr>
              <w:t>％※通知前受診</w:t>
            </w:r>
            <w:r>
              <w:rPr>
                <w:rFonts w:hint="eastAsia"/>
                <w:color w:val="000000" w:themeColor="text1"/>
              </w:rPr>
              <w:t>11</w:t>
            </w:r>
            <w:r>
              <w:rPr>
                <w:rFonts w:hint="eastAsia"/>
                <w:color w:val="000000" w:themeColor="text1"/>
              </w:rPr>
              <w:t>人除く）</w:t>
            </w:r>
            <w:r>
              <w:rPr>
                <w:rFonts w:hint="eastAsia"/>
                <w:color w:val="000000" w:themeColor="text1"/>
              </w:rPr>
              <w:t>2</w:t>
            </w:r>
            <w:r>
              <w:rPr>
                <w:rFonts w:hint="eastAsia"/>
                <w:color w:val="000000" w:themeColor="text1"/>
              </w:rPr>
              <w:t>月診療分時点</w:t>
            </w:r>
          </w:p>
        </w:tc>
      </w:tr>
      <w:tr>
        <w:trPr>
          <w:trHeight w:val="308" w:hRule="atLeast"/>
        </w:trPr>
        <w:tc>
          <w:tcPr>
            <w:tcW w:w="1928"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20460" w:type="dxa"/>
            <w:gridSpan w:val="9"/>
            <w:vAlign w:val="top"/>
          </w:tcPr>
          <w:p>
            <w:pPr>
              <w:pStyle w:val="0"/>
              <w:rPr>
                <w:rFonts w:hint="default"/>
                <w:color w:val="000000" w:themeColor="text1"/>
              </w:rPr>
            </w:pPr>
            <w:r>
              <w:rPr>
                <w:rFonts w:hint="eastAsia"/>
                <w:color w:val="000000" w:themeColor="text1"/>
              </w:rPr>
              <w:t>対象者ごとのリスクにあわせて対応し、重症化を防ぐ</w:t>
            </w:r>
          </w:p>
        </w:tc>
      </w:tr>
      <w:tr>
        <w:trPr>
          <w:trHeight w:val="1234" w:hRule="atLeast"/>
        </w:trPr>
        <w:tc>
          <w:tcPr>
            <w:tcW w:w="1928"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対象者</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周知・募集方法</w:t>
            </w:r>
          </w:p>
          <w:p>
            <w:pPr>
              <w:pStyle w:val="0"/>
              <w:rPr>
                <w:rFonts w:hint="default" w:asciiTheme="majorEastAsia" w:hAnsiTheme="majorEastAsia" w:eastAsiaTheme="majorEastAsia"/>
                <w:sz w:val="20"/>
              </w:rPr>
            </w:pPr>
          </w:p>
        </w:tc>
        <w:tc>
          <w:tcPr>
            <w:tcW w:w="20460" w:type="dxa"/>
            <w:gridSpan w:val="9"/>
            <w:vAlign w:val="top"/>
          </w:tcPr>
          <w:p>
            <w:pPr>
              <w:pStyle w:val="0"/>
              <w:autoSpaceDE w:val="0"/>
              <w:autoSpaceDN w:val="0"/>
              <w:adjustRightInd w:val="0"/>
              <w:jc w:val="left"/>
              <w:rPr>
                <w:rFonts w:hint="default"/>
              </w:rPr>
            </w:pPr>
            <w:r>
              <w:rPr>
                <w:rFonts w:hint="eastAsia"/>
              </w:rPr>
              <w:t>・（放置）特定健診を受診した人のうち、高血圧・糖尿病・脂質異常症の疾患の治療がなく、血圧、血糖、脂質の値が受診勧奨判定値を超える人。</w:t>
            </w:r>
          </w:p>
          <w:p>
            <w:pPr>
              <w:pStyle w:val="0"/>
              <w:autoSpaceDE w:val="0"/>
              <w:autoSpaceDN w:val="0"/>
              <w:adjustRightInd w:val="0"/>
              <w:ind w:left="210" w:hanging="210" w:hangingChars="100"/>
              <w:jc w:val="left"/>
              <w:rPr>
                <w:rFonts w:hint="default"/>
              </w:rPr>
            </w:pPr>
            <w:r>
              <w:rPr>
                <w:rFonts w:hint="eastAsia"/>
              </w:rPr>
              <w:t>・</w:t>
            </w:r>
            <w:r>
              <w:rPr>
                <w:rFonts w:hint="eastAsia"/>
              </w:rPr>
              <w:t>(</w:t>
            </w:r>
            <w:r>
              <w:rPr>
                <w:rFonts w:hint="eastAsia"/>
              </w:rPr>
              <w:t>中断）基準となった処方月の期間内のレセプトに生活習慣病（糖尿病・高血圧症・脂質異常症）の傷病があり（疑いを除く）、且つ、生活習慣病の薬剤処方がある人のうち、基準となった処方月の翌月から最低でも</w:t>
            </w:r>
            <w:r>
              <w:rPr>
                <w:rFonts w:hint="eastAsia"/>
              </w:rPr>
              <w:t>4</w:t>
            </w:r>
            <w:r>
              <w:rPr>
                <w:rFonts w:hint="eastAsia"/>
              </w:rPr>
              <w:t>ヵ月以上、医療機関受診が無い人。</w:t>
            </w:r>
          </w:p>
          <w:p>
            <w:pPr>
              <w:pStyle w:val="0"/>
              <w:autoSpaceDE w:val="0"/>
              <w:autoSpaceDN w:val="0"/>
              <w:adjustRightInd w:val="0"/>
              <w:jc w:val="left"/>
              <w:rPr>
                <w:rFonts w:hint="default"/>
              </w:rPr>
            </w:pPr>
            <w:r>
              <w:rPr>
                <w:rFonts w:hint="eastAsia"/>
              </w:rPr>
              <w:t>・</w:t>
            </w:r>
            <w:r>
              <w:rPr>
                <w:rFonts w:hint="eastAsia"/>
              </w:rPr>
              <w:t>(</w:t>
            </w:r>
            <w:r>
              <w:rPr>
                <w:rFonts w:hint="eastAsia"/>
              </w:rPr>
              <w:t>腎）特定健診を受診した人のうち、</w:t>
            </w:r>
            <w:r>
              <w:rPr>
                <w:rFonts w:hint="eastAsia"/>
              </w:rPr>
              <w:t>eGFR</w:t>
            </w:r>
            <w:r>
              <w:rPr>
                <w:rFonts w:hint="eastAsia"/>
              </w:rPr>
              <w:t>、尿蛋白の値が受診勧奨判定値を超える人。</w:t>
            </w:r>
          </w:p>
        </w:tc>
      </w:tr>
      <w:tr>
        <w:trPr>
          <w:trHeight w:val="1148" w:hRule="atLeast"/>
        </w:trPr>
        <w:tc>
          <w:tcPr>
            <w:tcW w:w="442" w:type="dxa"/>
            <w:vMerge w:val="restart"/>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事業内容</w:t>
            </w:r>
          </w:p>
        </w:tc>
        <w:tc>
          <w:tcPr>
            <w:tcW w:w="1486" w:type="dxa"/>
            <w:gridSpan w:val="2"/>
            <w:vAlign w:val="top"/>
          </w:tcPr>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実施期間</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実施日時</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実施場所</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内容</w:t>
            </w:r>
          </w:p>
        </w:tc>
        <w:tc>
          <w:tcPr>
            <w:tcW w:w="20460" w:type="dxa"/>
            <w:gridSpan w:val="9"/>
            <w:vAlign w:val="top"/>
          </w:tcPr>
          <w:p>
            <w:pPr>
              <w:pStyle w:val="0"/>
              <w:rPr>
                <w:rFonts w:hint="default"/>
              </w:rPr>
            </w:pPr>
            <w:r>
              <w:rPr>
                <w:rFonts w:hint="eastAsia"/>
              </w:rPr>
              <w:t>・（放置）対象者ごとに糖尿病、高血圧、脂質、複数リスク有に分けて通知を行う（毎月）</w:t>
            </w:r>
          </w:p>
          <w:p>
            <w:pPr>
              <w:pStyle w:val="0"/>
              <w:rPr>
                <w:rFonts w:hint="default"/>
              </w:rPr>
            </w:pPr>
            <w:r>
              <w:rPr>
                <w:rFonts w:hint="eastAsia"/>
              </w:rPr>
              <w:t>・（中断）レセプトから</w:t>
            </w:r>
            <w:r>
              <w:rPr>
                <w:rFonts w:hint="eastAsia"/>
              </w:rPr>
              <w:t>4</w:t>
            </w:r>
            <w:r>
              <w:rPr>
                <w:rFonts w:hint="eastAsia"/>
              </w:rPr>
              <w:t>か月以上の治療の中断がみられる人に対して通知を行う（</w:t>
            </w:r>
            <w:r>
              <w:rPr>
                <w:rFonts w:hint="eastAsia"/>
              </w:rPr>
              <w:t>12</w:t>
            </w:r>
            <w:r>
              <w:rPr>
                <w:rFonts w:hint="eastAsia"/>
              </w:rPr>
              <w:t>月）</w:t>
            </w:r>
          </w:p>
          <w:p>
            <w:pPr>
              <w:pStyle w:val="0"/>
              <w:rPr>
                <w:rFonts w:hint="default"/>
              </w:rPr>
            </w:pPr>
            <w:r>
              <w:rPr>
                <w:rFonts w:hint="eastAsia"/>
              </w:rPr>
              <w:t>・（腎）健診結果から腎症のリスクがある人に対して通知を行う（</w:t>
            </w:r>
            <w:r>
              <w:rPr>
                <w:rFonts w:hint="eastAsia"/>
              </w:rPr>
              <w:t>3</w:t>
            </w:r>
            <w:r>
              <w:rPr>
                <w:rFonts w:hint="eastAsia"/>
              </w:rPr>
              <w:t>月）</w:t>
            </w:r>
          </w:p>
          <w:p>
            <w:pPr>
              <w:pStyle w:val="0"/>
              <w:rPr>
                <w:rFonts w:hint="default"/>
              </w:rPr>
            </w:pPr>
            <w:r>
              <w:rPr>
                <w:rFonts w:hint="eastAsia"/>
              </w:rPr>
              <w:t>・通知発送後も医療機関の受診が確認できなかった人に対して、随時保健師、栄養士から電話による勧奨を行う</w:t>
            </w:r>
          </w:p>
        </w:tc>
      </w:tr>
      <w:tr>
        <w:trPr>
          <w:trHeight w:val="794" w:hRule="atLeast"/>
        </w:trPr>
        <w:tc>
          <w:tcPr>
            <w:tcW w:w="442" w:type="dxa"/>
            <w:vMerge w:val="continue"/>
            <w:vAlign w:val="top"/>
          </w:tcPr>
          <w:p>
            <w:pPr>
              <w:pStyle w:val="0"/>
              <w:rPr>
                <w:rFonts w:hint="eastAsia"/>
              </w:rPr>
            </w:pPr>
          </w:p>
        </w:tc>
        <w:tc>
          <w:tcPr>
            <w:tcW w:w="1486" w:type="dxa"/>
            <w:gridSpan w:val="2"/>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実施体制</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（従事者・担当ごとの役割等）</w:t>
            </w:r>
          </w:p>
        </w:tc>
        <w:tc>
          <w:tcPr>
            <w:tcW w:w="20460" w:type="dxa"/>
            <w:gridSpan w:val="9"/>
            <w:vAlign w:val="top"/>
          </w:tcPr>
          <w:p>
            <w:pPr>
              <w:pStyle w:val="0"/>
              <w:rPr>
                <w:rFonts w:hint="default"/>
                <w:color w:val="000000" w:themeColor="text1"/>
              </w:rPr>
            </w:pPr>
            <w:r>
              <w:rPr>
                <w:rFonts w:hint="eastAsia"/>
              </w:rPr>
              <w:t>・保険医療課：事務</w:t>
            </w:r>
            <w:r>
              <w:rPr>
                <w:rFonts w:hint="eastAsia"/>
              </w:rPr>
              <w:t>1</w:t>
            </w:r>
            <w:r>
              <w:rPr>
                <w:rFonts w:hint="eastAsia"/>
              </w:rPr>
              <w:t>名（通知発送等管理）　保健師</w:t>
            </w:r>
            <w:bookmarkStart w:id="0" w:name="_GoBack"/>
            <w:bookmarkEnd w:id="0"/>
            <w:r>
              <w:rPr>
                <w:rFonts w:hint="eastAsia"/>
                <w:color w:val="000000" w:themeColor="text1"/>
              </w:rPr>
              <w:t>、管理栄養士</w:t>
            </w:r>
            <w:r>
              <w:rPr>
                <w:rFonts w:hint="eastAsia"/>
                <w:color w:val="000000" w:themeColor="text1"/>
              </w:rPr>
              <w:t>3</w:t>
            </w:r>
            <w:r>
              <w:rPr>
                <w:rFonts w:hint="eastAsia"/>
                <w:color w:val="000000" w:themeColor="text1"/>
              </w:rPr>
              <w:t>名（電話勧奨）</w:t>
            </w:r>
          </w:p>
          <w:p>
            <w:pPr>
              <w:pStyle w:val="0"/>
              <w:rPr>
                <w:rFonts w:hint="default"/>
              </w:rPr>
            </w:pPr>
            <w:r>
              <w:rPr>
                <w:rFonts w:hint="eastAsia"/>
                <w:color w:val="000000" w:themeColor="text1"/>
              </w:rPr>
              <w:t>・株式会社ＪＭＤＣ：対象者抽出、通知作成</w:t>
            </w:r>
          </w:p>
        </w:tc>
      </w:tr>
      <w:tr>
        <w:trPr>
          <w:trHeight w:val="308" w:hRule="atLeast"/>
        </w:trPr>
        <w:tc>
          <w:tcPr>
            <w:tcW w:w="1928" w:type="dxa"/>
            <w:gridSpan w:val="3"/>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今年度の重点目標</w:t>
            </w:r>
          </w:p>
        </w:tc>
        <w:tc>
          <w:tcPr>
            <w:tcW w:w="8406" w:type="dxa"/>
            <w:gridSpan w:val="3"/>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受診勧奨者のうち、医療機関を受診した人の割合を</w:t>
            </w:r>
            <w:r>
              <w:rPr>
                <w:rFonts w:hint="eastAsia"/>
              </w:rPr>
              <w:t>60</w:t>
            </w:r>
            <w:r>
              <w:rPr>
                <w:rFonts w:hint="eastAsia"/>
              </w:rPr>
              <w:t>％にする。</w:t>
            </w:r>
          </w:p>
        </w:tc>
        <w:tc>
          <w:tcPr>
            <w:tcW w:w="1852" w:type="dxa"/>
            <w:tcBorders>
              <w:top w:val="single" w:color="2E74B4" w:themeColor="accent1" w:themeShade="BF" w:sz="18" w:space="0"/>
              <w:left w:val="single" w:color="2E74B4" w:themeColor="accent1" w:themeShade="BF" w:sz="18"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ajorEastAsia" w:hAnsiTheme="majorEastAsia" w:eastAsiaTheme="majorEastAsia"/>
              </w:rPr>
            </w:pPr>
            <w:r>
              <w:rPr>
                <w:rFonts w:hint="eastAsia" w:asciiTheme="majorEastAsia" w:hAnsiTheme="majorEastAsia" w:eastAsiaTheme="majorEastAsia"/>
              </w:rPr>
              <w:t>重点目標に対する実施後の評価</w:t>
            </w:r>
          </w:p>
        </w:tc>
        <w:tc>
          <w:tcPr>
            <w:tcW w:w="10202" w:type="dxa"/>
            <w:gridSpan w:val="5"/>
            <w:tcBorders>
              <w:top w:val="single" w:color="2E74B4" w:themeColor="accent1" w:themeShade="BF" w:sz="18" w:space="0"/>
              <w:left w:val="single" w:color="auto" w:sz="4" w:space="0"/>
              <w:bottom w:val="none" w:color="auto" w:sz="0" w:space="0"/>
              <w:right w:val="single" w:color="2E74B4" w:themeColor="accent1" w:themeShade="BF" w:sz="18" w:space="0"/>
              <w:tl2br w:val="none" w:color="auto" w:sz="0" w:space="0"/>
              <w:tr2bl w:val="none" w:color="auto" w:sz="0" w:space="0"/>
            </w:tcBorders>
            <w:vAlign w:val="top"/>
          </w:tcPr>
          <w:p>
            <w:pPr>
              <w:pStyle w:val="0"/>
              <w:widowControl w:val="1"/>
              <w:jc w:val="left"/>
              <w:rPr>
                <w:rFonts w:hint="default"/>
              </w:rPr>
            </w:pPr>
            <w:r>
              <w:rPr>
                <w:rFonts w:hint="eastAsia"/>
              </w:rPr>
              <w:t>2</w:t>
            </w:r>
            <w:r>
              <w:rPr>
                <w:rFonts w:hint="eastAsia"/>
              </w:rPr>
              <w:t>月</w:t>
            </w:r>
            <w:r>
              <w:rPr>
                <w:rFonts w:hint="eastAsia"/>
              </w:rPr>
              <w:t>3</w:t>
            </w:r>
            <w:r>
              <w:rPr>
                <w:rFonts w:hint="eastAsia"/>
              </w:rPr>
              <w:t>日時点　通知発送者</w:t>
            </w:r>
            <w:r>
              <w:rPr>
                <w:rFonts w:hint="eastAsia"/>
              </w:rPr>
              <w:t>92</w:t>
            </w:r>
            <w:r>
              <w:rPr>
                <w:rFonts w:hint="eastAsia"/>
              </w:rPr>
              <w:t>人　通知前受診者</w:t>
            </w:r>
            <w:r>
              <w:rPr>
                <w:rFonts w:hint="eastAsia"/>
              </w:rPr>
              <w:t>11</w:t>
            </w:r>
            <w:r>
              <w:rPr>
                <w:rFonts w:hint="eastAsia"/>
              </w:rPr>
              <w:t>人　資格喪失者</w:t>
            </w:r>
            <w:r>
              <w:rPr>
                <w:rFonts w:hint="eastAsia"/>
              </w:rPr>
              <w:t>1</w:t>
            </w:r>
            <w:r>
              <w:rPr>
                <w:rFonts w:hint="eastAsia"/>
              </w:rPr>
              <w:t>人　効果検証対象者</w:t>
            </w:r>
            <w:r>
              <w:rPr>
                <w:rFonts w:hint="eastAsia"/>
              </w:rPr>
              <w:t>80</w:t>
            </w:r>
            <w:r>
              <w:rPr>
                <w:rFonts w:hint="eastAsia"/>
              </w:rPr>
              <w:t>人</w:t>
            </w:r>
          </w:p>
          <w:p>
            <w:pPr>
              <w:pStyle w:val="0"/>
              <w:rPr>
                <w:rFonts w:hint="default"/>
              </w:rPr>
            </w:pPr>
            <w:r>
              <w:rPr>
                <w:rFonts w:hint="eastAsia"/>
              </w:rPr>
              <w:t>6</w:t>
            </w:r>
            <w:r>
              <w:rPr>
                <w:rFonts w:hint="eastAsia"/>
              </w:rPr>
              <w:t>名受診（</w:t>
            </w:r>
            <w:r>
              <w:rPr>
                <w:rFonts w:hint="eastAsia"/>
              </w:rPr>
              <w:t>8</w:t>
            </w:r>
            <w:r>
              <w:rPr>
                <w:rFonts w:hint="eastAsia"/>
              </w:rPr>
              <w:t>％）</w:t>
            </w:r>
          </w:p>
        </w:tc>
      </w:tr>
      <w:tr>
        <w:trPr>
          <w:trHeight w:val="282" w:hRule="atLeast"/>
        </w:trPr>
        <w:tc>
          <w:tcPr>
            <w:tcW w:w="482" w:type="dxa"/>
            <w:gridSpan w:val="2"/>
            <w:vMerge w:val="restart"/>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目標</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評価指標</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tc>
        <w:tc>
          <w:tcPr>
            <w:tcW w:w="1446" w:type="dxa"/>
            <w:vMerge w:val="restart"/>
            <w:vAlign w:val="top"/>
          </w:tcPr>
          <w:p>
            <w:pPr>
              <w:pStyle w:val="0"/>
              <w:widowControl w:val="1"/>
              <w:jc w:val="left"/>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区分</w:t>
            </w:r>
          </w:p>
        </w:tc>
        <w:tc>
          <w:tcPr>
            <w:tcW w:w="8406" w:type="dxa"/>
            <w:gridSpan w:val="3"/>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ind w:firstLine="2940" w:firstLineChars="1400"/>
              <w:rPr>
                <w:rFonts w:hint="default" w:asciiTheme="majorEastAsia" w:hAnsiTheme="majorEastAsia" w:eastAsiaTheme="majorEastAsia"/>
              </w:rPr>
            </w:pPr>
            <w:r>
              <w:rPr>
                <w:rFonts w:hint="eastAsia" w:asciiTheme="majorEastAsia" w:hAnsiTheme="majorEastAsia" w:eastAsiaTheme="majorEastAsia"/>
              </w:rPr>
              <w:t>事　業　計　画</w:t>
            </w:r>
          </w:p>
        </w:tc>
        <w:tc>
          <w:tcPr>
            <w:tcW w:w="12054" w:type="dxa"/>
            <w:gridSpan w:val="6"/>
            <w:tcBorders>
              <w:top w:val="none" w:color="auto" w:sz="0" w:space="0"/>
              <w:left w:val="single" w:color="2E74B4" w:themeColor="accent1" w:themeShade="BF" w:sz="18"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実施後の評価</w:t>
            </w:r>
            <w:r>
              <w:rPr>
                <w:rFonts w:hint="eastAsia" w:asciiTheme="majorEastAsia" w:hAnsiTheme="majorEastAsia" w:eastAsiaTheme="majorEastAsia"/>
                <w:sz w:val="20"/>
              </w:rPr>
              <w:t>（＊達成度　Ａ：目標達成　Ｂ：目標達成していないが改善　Ｃ：変化なし　Ｄ：悪化　Ｅ：判定不能）</w:t>
            </w:r>
          </w:p>
        </w:tc>
      </w:tr>
      <w:tr>
        <w:trPr>
          <w:trHeight w:val="549"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continue"/>
            <w:vAlign w:val="top"/>
          </w:tcPr>
          <w:p>
            <w:pPr>
              <w:pStyle w:val="0"/>
              <w:widowControl w:val="1"/>
              <w:jc w:val="left"/>
              <w:rPr>
                <w:rFonts w:hint="default" w:asciiTheme="majorEastAsia" w:hAnsiTheme="majorEastAsia" w:eastAsiaTheme="majorEastAsia"/>
                <w:sz w:val="20"/>
              </w:rPr>
            </w:pPr>
          </w:p>
        </w:tc>
        <w:tc>
          <w:tcPr>
            <w:tcW w:w="4357" w:type="dxa"/>
            <w:vAlign w:val="top"/>
          </w:tcPr>
          <w:p>
            <w:pPr>
              <w:pStyle w:val="0"/>
              <w:ind w:firstLine="800" w:firstLineChars="400"/>
              <w:rPr>
                <w:rFonts w:hint="default" w:asciiTheme="majorEastAsia" w:hAnsiTheme="majorEastAsia" w:eastAsiaTheme="majorEastAsia"/>
                <w:sz w:val="20"/>
              </w:rPr>
            </w:pPr>
            <w:r>
              <w:rPr>
                <w:rFonts w:hint="eastAsia" w:asciiTheme="majorEastAsia" w:hAnsiTheme="majorEastAsia" w:eastAsiaTheme="majorEastAsia"/>
                <w:sz w:val="20"/>
              </w:rPr>
              <w:t>指標（事業番号ごとに設定）</w:t>
            </w:r>
          </w:p>
        </w:tc>
        <w:tc>
          <w:tcPr>
            <w:tcW w:w="1528"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目標値</w:t>
            </w:r>
          </w:p>
        </w:tc>
        <w:tc>
          <w:tcPr>
            <w:tcW w:w="2521" w:type="dxa"/>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評価（データ入手方法・</w:t>
            </w:r>
          </w:p>
          <w:p>
            <w:pPr>
              <w:pStyle w:val="0"/>
              <w:rPr>
                <w:rFonts w:hint="default" w:asciiTheme="majorEastAsia" w:hAnsiTheme="majorEastAsia" w:eastAsiaTheme="majorEastAsia"/>
              </w:rPr>
            </w:pPr>
            <w:r>
              <w:rPr>
                <w:rFonts w:hint="eastAsia" w:asciiTheme="majorEastAsia" w:hAnsiTheme="majorEastAsia" w:eastAsiaTheme="majorEastAsia"/>
              </w:rPr>
              <w:t>入手先・時期）</w:t>
            </w:r>
          </w:p>
        </w:tc>
        <w:tc>
          <w:tcPr>
            <w:tcW w:w="4799" w:type="dxa"/>
            <w:gridSpan w:val="2"/>
            <w:tcBorders>
              <w:top w:val="none" w:color="auto" w:sz="0" w:space="0"/>
              <w:left w:val="single" w:color="2E74B4" w:themeColor="accent1" w:themeShade="BF" w:sz="18" w:space="0"/>
              <w:bottom w:val="single" w:color="auto" w:sz="4" w:space="0"/>
              <w:right w:val="none" w:color="auto" w:sz="0" w:space="0"/>
              <w:tl2br w:val="none" w:color="auto" w:sz="0" w:space="0"/>
              <w:tr2bl w:val="none" w:color="auto" w:sz="0" w:space="0"/>
            </w:tcBorders>
            <w:vAlign w:val="top"/>
          </w:tcPr>
          <w:p>
            <w:pPr>
              <w:pStyle w:val="0"/>
              <w:ind w:firstLine="1470" w:firstLineChars="700"/>
              <w:rPr>
                <w:rFonts w:hint="default" w:asciiTheme="majorEastAsia" w:hAnsiTheme="majorEastAsia" w:eastAsiaTheme="majorEastAsia"/>
              </w:rPr>
            </w:pPr>
            <w:r>
              <w:rPr>
                <w:rFonts w:hint="eastAsia" w:asciiTheme="majorEastAsia" w:hAnsiTheme="majorEastAsia" w:eastAsiaTheme="majorEastAsia"/>
              </w:rPr>
              <w:t>指標の評価結果</w:t>
            </w:r>
          </w:p>
        </w:tc>
        <w:tc>
          <w:tcPr>
            <w:tcW w:w="12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達成度＊</w:t>
            </w:r>
          </w:p>
        </w:tc>
        <w:tc>
          <w:tcPr>
            <w:tcW w:w="17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成功・推進要因</w:t>
            </w:r>
          </w:p>
        </w:tc>
        <w:tc>
          <w:tcPr>
            <w:tcW w:w="16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課題・阻害要因</w:t>
            </w:r>
          </w:p>
        </w:tc>
        <w:tc>
          <w:tcPr>
            <w:tcW w:w="2609" w:type="dxa"/>
            <w:tcBorders>
              <w:top w:val="none" w:color="auto" w:sz="0" w:space="0"/>
              <w:left w:val="none" w:color="auto" w:sz="0" w:space="0"/>
              <w:bottom w:val="single" w:color="auto" w:sz="4"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全体評価・今後の方向性</w:t>
            </w:r>
          </w:p>
        </w:tc>
      </w:tr>
      <w:tr>
        <w:trPr>
          <w:trHeight w:val="710"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restart"/>
            <w:vAlign w:val="top"/>
          </w:tcPr>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ストラク</w:t>
            </w:r>
          </w:p>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チャー</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適切な委託業者を選定する</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適切な委託業者を選定する</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事業終了後</w:t>
            </w:r>
          </w:p>
        </w:tc>
        <w:tc>
          <w:tcPr>
            <w:tcW w:w="4799" w:type="dxa"/>
            <w:gridSpan w:val="2"/>
            <w:tcBorders>
              <w:top w:val="single" w:color="auto" w:sz="4" w:space="0"/>
              <w:left w:val="single" w:color="2E74B4" w:themeColor="accent1" w:themeShade="BF" w:sz="18" w:space="0"/>
              <w:bottom w:val="dashSmallGap" w:color="auto" w:sz="4" w:space="0"/>
              <w:right w:val="single" w:color="auto" w:sz="4" w:space="0"/>
              <w:tl2br w:val="nil"/>
              <w:tr2bl w:val="nil"/>
            </w:tcBorders>
            <w:vAlign w:val="top"/>
          </w:tcPr>
          <w:p>
            <w:pPr>
              <w:pStyle w:val="0"/>
              <w:rPr>
                <w:rFonts w:hint="default"/>
              </w:rPr>
            </w:pPr>
            <w:r>
              <w:rPr>
                <w:rFonts w:hint="eastAsia"/>
              </w:rPr>
              <w:t>適切に選定した。</w:t>
            </w:r>
          </w:p>
        </w:tc>
        <w:tc>
          <w:tcPr>
            <w:tcW w:w="1233"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rPr>
            </w:pPr>
            <w:r>
              <w:rPr>
                <w:rFonts w:hint="eastAsia"/>
              </w:rPr>
              <w:t>A</w:t>
            </w:r>
          </w:p>
        </w:tc>
        <w:tc>
          <w:tcPr>
            <w:tcW w:w="172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r>
              <w:rPr>
                <w:rFonts w:hint="eastAsia"/>
              </w:rPr>
              <w:t>レセプトや健診の結果から、対象者に合わせた内容を適切なタイミングで通できた。</w:t>
            </w:r>
          </w:p>
        </w:tc>
        <w:tc>
          <w:tcPr>
            <w:tcW w:w="1691" w:type="dxa"/>
            <w:vMerge w:val="restart"/>
            <w:tcBorders>
              <w:top w:val="single" w:color="auto" w:sz="4" w:space="0"/>
              <w:left w:val="single" w:color="auto" w:sz="4" w:space="0"/>
              <w:bottom w:val="none" w:color="auto" w:sz="0" w:space="0"/>
              <w:right w:val="single" w:color="auto" w:sz="4" w:space="0"/>
              <w:tl2br w:val="nil"/>
              <w:tr2bl w:val="nil"/>
            </w:tcBorders>
            <w:vAlign w:val="top"/>
          </w:tcPr>
          <w:p>
            <w:pPr>
              <w:pStyle w:val="0"/>
              <w:rPr>
                <w:rFonts w:hint="default"/>
              </w:rPr>
            </w:pPr>
            <w:r>
              <w:rPr>
                <w:rFonts w:hint="eastAsia"/>
              </w:rPr>
              <w:t>電話勧奨やその実施状況の管理をするための時間（人員）がたりない。</w:t>
            </w:r>
          </w:p>
          <w:p>
            <w:pPr>
              <w:pStyle w:val="0"/>
              <w:rPr>
                <w:rFonts w:hint="default"/>
              </w:rPr>
            </w:pPr>
          </w:p>
          <w:p>
            <w:pPr>
              <w:pStyle w:val="0"/>
              <w:rPr>
                <w:rFonts w:hint="default"/>
              </w:rPr>
            </w:pPr>
          </w:p>
        </w:tc>
        <w:tc>
          <w:tcPr>
            <w:tcW w:w="2609" w:type="dxa"/>
            <w:vMerge w:val="restart"/>
            <w:tcBorders>
              <w:top w:val="single" w:color="auto" w:sz="4" w:space="0"/>
              <w:left w:val="single" w:color="auto" w:sz="4" w:space="0"/>
              <w:bottom w:val="none" w:color="auto" w:sz="0" w:space="0"/>
              <w:right w:val="single" w:color="2E74B4" w:themeColor="accent1" w:themeShade="BF" w:sz="18" w:space="0"/>
              <w:tl2br w:val="nil"/>
              <w:tr2bl w:val="nil"/>
            </w:tcBorders>
            <w:vAlign w:val="top"/>
          </w:tcPr>
          <w:p>
            <w:pPr>
              <w:pStyle w:val="0"/>
              <w:rPr>
                <w:rFonts w:hint="default"/>
              </w:rPr>
            </w:pPr>
            <w:r>
              <w:rPr>
                <w:rFonts w:hint="eastAsia"/>
              </w:rPr>
              <w:t>2</w:t>
            </w:r>
            <w:r>
              <w:rPr>
                <w:rFonts w:hint="eastAsia"/>
              </w:rPr>
              <w:t>月時点では、通知発送者に対して受診者が８％と十分な結果とはいえない状況であった。今後、受診していない者については、管理栄養士や保健師から電話での受診勧奨を継続して実施する。</w:t>
            </w:r>
          </w:p>
          <w:p>
            <w:pPr>
              <w:pStyle w:val="0"/>
              <w:rPr>
                <w:rFonts w:hint="default"/>
              </w:rPr>
            </w:pPr>
            <w:r>
              <w:rPr>
                <w:rFonts w:hint="eastAsia"/>
              </w:rPr>
              <w:t>ハイリスク者においてはより積極的に介入をしていく。</w:t>
            </w:r>
          </w:p>
        </w:tc>
      </w:tr>
      <w:tr>
        <w:trPr>
          <w:trHeight w:val="567"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continue"/>
            <w:vAlign w:val="top"/>
          </w:tcPr>
          <w:p>
            <w:pPr>
              <w:pStyle w:val="0"/>
              <w:jc w:val="left"/>
              <w:rPr>
                <w:rFonts w:hint="default" w:asciiTheme="majorEastAsia" w:hAnsiTheme="majorEastAsia" w:eastAsiaTheme="majorEastAsia"/>
                <w:sz w:val="20"/>
              </w:rPr>
            </w:pPr>
          </w:p>
        </w:tc>
        <w:tc>
          <w:tcPr>
            <w:tcW w:w="435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業務に従事するマンパワーの確保</w:t>
            </w:r>
          </w:p>
        </w:tc>
        <w:tc>
          <w:tcPr>
            <w:tcW w:w="152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必要数を確保する</w:t>
            </w:r>
          </w:p>
        </w:tc>
        <w:tc>
          <w:tcPr>
            <w:tcW w:w="2521" w:type="dxa"/>
            <w:tcBorders>
              <w:top w:val="dashSmallGap" w:color="auto" w:sz="4"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事業開始時及び終了時</w:t>
            </w:r>
          </w:p>
        </w:tc>
        <w:tc>
          <w:tcPr>
            <w:tcW w:w="4799" w:type="dxa"/>
            <w:gridSpan w:val="2"/>
            <w:tcBorders>
              <w:top w:val="dashSmallGap" w:color="auto" w:sz="4" w:space="0"/>
              <w:left w:val="single" w:color="2E74B4" w:themeColor="accent1" w:themeShade="BF" w:sz="18" w:space="0"/>
              <w:bottom w:val="none" w:color="auto" w:sz="0" w:space="0"/>
              <w:right w:val="single" w:color="auto" w:sz="4" w:space="0"/>
              <w:tl2br w:val="nil"/>
              <w:tr2bl w:val="nil"/>
            </w:tcBorders>
            <w:vAlign w:val="top"/>
          </w:tcPr>
          <w:p>
            <w:pPr>
              <w:pStyle w:val="0"/>
              <w:rPr>
                <w:rFonts w:hint="default"/>
              </w:rPr>
            </w:pPr>
            <w:r>
              <w:rPr>
                <w:rFonts w:hint="eastAsia"/>
              </w:rPr>
              <w:t>計画どおりの人員で実施できたが、電話勧奨の実施状況の管理などをするための人員が不足した。</w:t>
            </w:r>
          </w:p>
        </w:tc>
        <w:tc>
          <w:tcPr>
            <w:tcW w:w="1233" w:type="dxa"/>
            <w:tcBorders>
              <w:top w:val="dashSmallGap" w:color="auto" w:sz="4" w:space="0"/>
              <w:left w:val="single" w:color="auto" w:sz="4" w:space="0"/>
              <w:bottom w:val="none" w:color="auto" w:sz="0" w:space="0"/>
              <w:right w:val="single" w:color="auto" w:sz="4" w:space="0"/>
              <w:tl2br w:val="nil"/>
              <w:tr2bl w:val="nil"/>
            </w:tcBorders>
            <w:vAlign w:val="top"/>
          </w:tcPr>
          <w:p>
            <w:pPr>
              <w:pStyle w:val="0"/>
              <w:rPr>
                <w:rFonts w:hint="default"/>
              </w:rPr>
            </w:pPr>
            <w:r>
              <w:rPr>
                <w:rFonts w:hint="eastAsia"/>
              </w:rPr>
              <w:t>B</w:t>
            </w:r>
          </w:p>
        </w:tc>
        <w:tc>
          <w:tcPr>
            <w:tcW w:w="1722" w:type="dxa"/>
            <w:vMerge w:val="continue"/>
            <w:tcBorders>
              <w:top w:val="dashSmallGap" w:color="auto" w:sz="4" w:space="0"/>
              <w:left w:val="single" w:color="auto" w:sz="4" w:space="0"/>
              <w:bottom w:val="none" w:color="auto" w:sz="0" w:space="0"/>
              <w:right w:val="single" w:color="auto" w:sz="4" w:space="0"/>
              <w:tl2br w:val="nil"/>
              <w:tr2bl w:val="nil"/>
            </w:tcBorders>
            <w:vAlign w:val="top"/>
          </w:tcPr>
          <w:p>
            <w:pPr>
              <w:pStyle w:val="0"/>
              <w:rPr>
                <w:rFonts w:hint="default"/>
              </w:rPr>
            </w:pPr>
          </w:p>
        </w:tc>
        <w:tc>
          <w:tcPr>
            <w:tcW w:w="1691"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default"/>
              </w:rPr>
            </w:pPr>
          </w:p>
        </w:tc>
        <w:tc>
          <w:tcPr>
            <w:tcW w:w="2609" w:type="dxa"/>
            <w:vMerge w:val="continue"/>
            <w:tcBorders>
              <w:top w:val="none" w:color="auto" w:sz="0" w:space="0"/>
              <w:left w:val="single" w:color="auto" w:sz="4" w:space="0"/>
              <w:bottom w:val="none" w:color="auto" w:sz="0" w:space="0"/>
              <w:right w:val="single" w:color="2E74B4" w:themeColor="accent1" w:themeShade="BF" w:sz="18" w:space="0"/>
              <w:tl2br w:val="nil"/>
              <w:tr2bl w:val="nil"/>
            </w:tcBorders>
            <w:vAlign w:val="top"/>
          </w:tcPr>
          <w:p>
            <w:pPr>
              <w:pStyle w:val="0"/>
              <w:rPr>
                <w:rFonts w:hint="default"/>
              </w:rPr>
            </w:pPr>
          </w:p>
        </w:tc>
      </w:tr>
      <w:tr>
        <w:trPr>
          <w:trHeight w:val="567"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restart"/>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プロセス</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対象者の適切な抽出</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対象者を適切に抽出する</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事業開始時及び終了時</w:t>
            </w:r>
          </w:p>
        </w:tc>
        <w:tc>
          <w:tcPr>
            <w:tcW w:w="4799" w:type="dxa"/>
            <w:gridSpan w:val="2"/>
            <w:tcBorders>
              <w:top w:val="none" w:color="auto" w:sz="0" w:space="0"/>
              <w:left w:val="single" w:color="2E74B4" w:themeColor="accent1" w:themeShade="BF" w:sz="18" w:space="0"/>
              <w:bottom w:val="dashSmallGap" w:color="auto" w:sz="4" w:space="0"/>
              <w:right w:val="single" w:color="auto" w:sz="4" w:space="0"/>
              <w:tl2br w:val="nil"/>
              <w:tr2bl w:val="nil"/>
            </w:tcBorders>
            <w:vAlign w:val="top"/>
          </w:tcPr>
          <w:p>
            <w:pPr>
              <w:pStyle w:val="0"/>
              <w:rPr>
                <w:rFonts w:hint="default"/>
              </w:rPr>
            </w:pPr>
            <w:r>
              <w:rPr>
                <w:rFonts w:hint="eastAsia"/>
              </w:rPr>
              <w:t>受診勧奨判定値を超える人をハイリスク者と通常リスク者に分けて抽出した。</w:t>
            </w:r>
          </w:p>
          <w:p>
            <w:pPr>
              <w:pStyle w:val="0"/>
              <w:rPr>
                <w:rFonts w:hint="default"/>
              </w:rPr>
            </w:pPr>
            <w:r>
              <w:rPr>
                <w:rFonts w:hint="eastAsia"/>
              </w:rPr>
              <w:t>治療中断や腎症リスク者も適切に抽出できた。</w:t>
            </w:r>
          </w:p>
        </w:tc>
        <w:tc>
          <w:tcPr>
            <w:tcW w:w="1233" w:type="dxa"/>
            <w:tcBorders>
              <w:top w:val="none" w:color="auto" w:sz="0" w:space="0"/>
              <w:left w:val="single" w:color="auto" w:sz="4" w:space="0"/>
              <w:bottom w:val="dashSmallGap" w:color="auto" w:sz="4" w:space="0"/>
              <w:right w:val="single" w:color="auto" w:sz="4" w:space="0"/>
              <w:tl2br w:val="nil"/>
              <w:tr2bl w:val="nil"/>
            </w:tcBorders>
            <w:vAlign w:val="top"/>
          </w:tcPr>
          <w:p>
            <w:pPr>
              <w:pStyle w:val="0"/>
              <w:rPr>
                <w:rFonts w:hint="default"/>
              </w:rPr>
            </w:pPr>
            <w:r>
              <w:rPr>
                <w:rFonts w:hint="eastAsia"/>
              </w:rPr>
              <w:t>A</w:t>
            </w:r>
          </w:p>
        </w:tc>
        <w:tc>
          <w:tcPr>
            <w:tcW w:w="1722" w:type="dxa"/>
            <w:vMerge w:val="continue"/>
            <w:tcBorders>
              <w:top w:val="none" w:color="auto" w:sz="0" w:space="0"/>
              <w:left w:val="single" w:color="auto" w:sz="4" w:space="0"/>
              <w:bottom w:val="dashSmallGap" w:color="auto" w:sz="4" w:space="0"/>
              <w:right w:val="single" w:color="auto" w:sz="4" w:space="0"/>
              <w:tl2br w:val="nil"/>
              <w:tr2bl w:val="nil"/>
            </w:tcBorders>
            <w:vAlign w:val="top"/>
          </w:tcPr>
          <w:p>
            <w:pPr>
              <w:pStyle w:val="0"/>
              <w:rPr>
                <w:rFonts w:hint="default"/>
              </w:rPr>
            </w:pPr>
          </w:p>
        </w:tc>
        <w:tc>
          <w:tcPr>
            <w:tcW w:w="1691" w:type="dxa"/>
            <w:vMerge w:val="continue"/>
            <w:tcBorders>
              <w:top w:val="single" w:color="auto" w:sz="4" w:space="0"/>
              <w:left w:val="single" w:color="auto" w:sz="4" w:space="0"/>
              <w:bottom w:val="none" w:color="auto" w:sz="0" w:space="0"/>
              <w:right w:val="single" w:color="auto" w:sz="4" w:space="0"/>
              <w:tl2br w:val="nil"/>
              <w:tr2bl w:val="nil"/>
            </w:tcBorders>
            <w:vAlign w:val="top"/>
          </w:tcPr>
          <w:p>
            <w:pPr>
              <w:pStyle w:val="0"/>
              <w:rPr>
                <w:rFonts w:hint="default"/>
              </w:rPr>
            </w:pPr>
          </w:p>
        </w:tc>
        <w:tc>
          <w:tcPr>
            <w:tcW w:w="2609" w:type="dxa"/>
            <w:vMerge w:val="continue"/>
            <w:tcBorders>
              <w:top w:val="none" w:color="auto" w:sz="0" w:space="0"/>
              <w:left w:val="single" w:color="auto" w:sz="4" w:space="0"/>
              <w:bottom w:val="none" w:color="auto" w:sz="0" w:space="0"/>
              <w:right w:val="single" w:color="2E74B4" w:themeColor="accent1" w:themeShade="BF" w:sz="18" w:space="0"/>
              <w:tl2br w:val="nil"/>
              <w:tr2bl w:val="nil"/>
            </w:tcBorders>
            <w:vAlign w:val="top"/>
          </w:tcPr>
          <w:p>
            <w:pPr>
              <w:pStyle w:val="0"/>
              <w:rPr>
                <w:rFonts w:hint="default"/>
              </w:rPr>
            </w:pPr>
          </w:p>
        </w:tc>
      </w:tr>
      <w:tr>
        <w:trPr>
          <w:trHeight w:val="567"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continue"/>
            <w:vAlign w:val="top"/>
          </w:tcPr>
          <w:p>
            <w:pPr>
              <w:pStyle w:val="0"/>
              <w:ind w:firstLine="200" w:firstLineChars="100"/>
              <w:jc w:val="left"/>
              <w:rPr>
                <w:rFonts w:hint="default" w:asciiTheme="majorEastAsia" w:hAnsiTheme="majorEastAsia" w:eastAsiaTheme="majorEastAsia"/>
                <w:sz w:val="20"/>
              </w:rPr>
            </w:pPr>
          </w:p>
        </w:tc>
        <w:tc>
          <w:tcPr>
            <w:tcW w:w="4357"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対象者への勧奨通知の内容・送付時期の適切性</w:t>
            </w:r>
          </w:p>
        </w:tc>
        <w:tc>
          <w:tcPr>
            <w:tcW w:w="1528"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適切な内容の通知を適切な時期に発送する</w:t>
            </w:r>
          </w:p>
        </w:tc>
        <w:tc>
          <w:tcPr>
            <w:tcW w:w="2521" w:type="dxa"/>
            <w:tcBorders>
              <w:top w:val="dashSmallGap" w:color="auto" w:sz="4" w:space="0"/>
              <w:left w:val="none" w:color="auto" w:sz="0" w:space="0"/>
              <w:bottom w:val="single"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事業終了後、次年度健診結果から評価</w:t>
            </w:r>
          </w:p>
        </w:tc>
        <w:tc>
          <w:tcPr>
            <w:tcW w:w="4799" w:type="dxa"/>
            <w:gridSpan w:val="2"/>
            <w:tcBorders>
              <w:top w:val="dashSmallGap" w:color="auto" w:sz="4" w:space="0"/>
              <w:left w:val="single" w:color="2E74B4" w:themeColor="accent1" w:themeShade="BF" w:sz="18" w:space="0"/>
              <w:bottom w:val="single" w:color="auto" w:sz="4" w:space="0"/>
              <w:right w:val="single" w:color="auto" w:sz="4" w:space="0"/>
              <w:tl2br w:val="nil"/>
              <w:tr2bl w:val="nil"/>
            </w:tcBorders>
            <w:vAlign w:val="top"/>
          </w:tcPr>
          <w:p>
            <w:pPr>
              <w:pStyle w:val="0"/>
              <w:rPr>
                <w:rFonts w:hint="default"/>
              </w:rPr>
            </w:pPr>
            <w:r>
              <w:rPr>
                <w:rFonts w:hint="eastAsia"/>
              </w:rPr>
              <w:t>放置の対象者については、健診受診後　６か月以内に通知できた。</w:t>
            </w:r>
          </w:p>
          <w:p>
            <w:pPr>
              <w:pStyle w:val="0"/>
              <w:rPr>
                <w:rFonts w:hint="default"/>
              </w:rPr>
            </w:pPr>
            <w:r>
              <w:rPr>
                <w:rFonts w:hint="eastAsia"/>
              </w:rPr>
              <w:t>治療中断や腎症リスク者についての、計画通り通知することができた。（腎通知は予定）</w:t>
            </w:r>
          </w:p>
        </w:tc>
        <w:tc>
          <w:tcPr>
            <w:tcW w:w="1233" w:type="dxa"/>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default"/>
              </w:rPr>
            </w:pPr>
            <w:r>
              <w:rPr>
                <w:rFonts w:hint="eastAsia"/>
              </w:rPr>
              <w:t>A</w:t>
            </w:r>
          </w:p>
        </w:tc>
        <w:tc>
          <w:tcPr>
            <w:tcW w:w="1722" w:type="dxa"/>
            <w:vMerge w:val="continue"/>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691"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default"/>
              </w:rPr>
            </w:pPr>
          </w:p>
        </w:tc>
        <w:tc>
          <w:tcPr>
            <w:tcW w:w="2609" w:type="dxa"/>
            <w:vMerge w:val="continue"/>
            <w:tcBorders>
              <w:top w:val="none" w:color="auto" w:sz="0" w:space="0"/>
              <w:left w:val="single" w:color="auto" w:sz="4" w:space="0"/>
              <w:bottom w:val="none" w:color="auto" w:sz="0" w:space="0"/>
              <w:right w:val="single" w:color="2E74B4" w:themeColor="accent1" w:themeShade="BF" w:sz="18" w:space="0"/>
              <w:tl2br w:val="nil"/>
              <w:tr2bl w:val="nil"/>
            </w:tcBorders>
            <w:vAlign w:val="top"/>
          </w:tcPr>
          <w:p>
            <w:pPr>
              <w:pStyle w:val="0"/>
              <w:rPr>
                <w:rFonts w:hint="default"/>
              </w:rPr>
            </w:pPr>
          </w:p>
        </w:tc>
      </w:tr>
      <w:tr>
        <w:trPr>
          <w:trHeight w:val="567"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アウトプット</w:t>
            </w:r>
          </w:p>
        </w:tc>
        <w:tc>
          <w:tcPr>
            <w:tcW w:w="4357" w:type="dxa"/>
            <w:tcBorders>
              <w:top w:val="single" w:color="auto" w:sz="4" w:space="0"/>
              <w:left w:val="single" w:color="auto" w:sz="4" w:space="0"/>
              <w:bottom w:val="single" w:color="auto" w:sz="4" w:space="0"/>
              <w:right w:val="none" w:color="auto" w:sz="0" w:space="0"/>
              <w:tl2br w:val="nil"/>
              <w:tr2bl w:val="nil"/>
            </w:tcBorders>
            <w:vAlign w:val="top"/>
          </w:tcPr>
          <w:p>
            <w:pPr>
              <w:pStyle w:val="0"/>
              <w:rPr>
                <w:rFonts w:hint="default"/>
              </w:rPr>
            </w:pPr>
            <w:r>
              <w:rPr>
                <w:rFonts w:hint="eastAsia"/>
              </w:rPr>
              <w:t>対象者への通知発送率</w:t>
            </w:r>
          </w:p>
        </w:tc>
        <w:tc>
          <w:tcPr>
            <w:tcW w:w="1528"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default"/>
              </w:rPr>
            </w:pPr>
            <w:r>
              <w:rPr>
                <w:rFonts w:hint="eastAsia"/>
              </w:rPr>
              <w:t>100</w:t>
            </w:r>
            <w:r>
              <w:rPr>
                <w:rFonts w:hint="eastAsia"/>
              </w:rPr>
              <w:t>％</w:t>
            </w:r>
          </w:p>
        </w:tc>
        <w:tc>
          <w:tcPr>
            <w:tcW w:w="2521" w:type="dxa"/>
            <w:tcBorders>
              <w:top w:val="single" w:color="auto" w:sz="4" w:space="0"/>
              <w:left w:val="none" w:color="auto" w:sz="0" w:space="0"/>
              <w:bottom w:val="single" w:color="auto" w:sz="4" w:space="0"/>
              <w:right w:val="single" w:color="2E74B4" w:themeColor="accent1" w:themeShade="BF" w:sz="18" w:space="0"/>
              <w:tl2br w:val="nil"/>
              <w:tr2bl w:val="nil"/>
            </w:tcBorders>
            <w:vAlign w:val="top"/>
          </w:tcPr>
          <w:p>
            <w:pPr>
              <w:pStyle w:val="0"/>
              <w:rPr>
                <w:rFonts w:hint="default"/>
              </w:rPr>
            </w:pPr>
            <w:r>
              <w:rPr>
                <w:rFonts w:hint="eastAsia"/>
              </w:rPr>
              <w:t>事業終了後（</w:t>
            </w:r>
            <w:r>
              <w:rPr>
                <w:rFonts w:hint="eastAsia"/>
              </w:rPr>
              <w:t>1</w:t>
            </w:r>
            <w:r>
              <w:rPr>
                <w:rFonts w:hint="eastAsia"/>
              </w:rPr>
              <w:t>月）</w:t>
            </w:r>
          </w:p>
        </w:tc>
        <w:tc>
          <w:tcPr>
            <w:tcW w:w="4799" w:type="dxa"/>
            <w:gridSpan w:val="2"/>
            <w:tcBorders>
              <w:top w:val="single" w:color="auto" w:sz="4" w:space="0"/>
              <w:left w:val="single" w:color="2E74B4" w:themeColor="accent1" w:themeShade="BF" w:sz="18" w:space="0"/>
              <w:bottom w:val="single" w:color="auto" w:sz="4" w:space="0"/>
              <w:right w:val="single" w:color="auto" w:sz="4" w:space="0"/>
              <w:tl2br w:val="nil"/>
              <w:tr2bl w:val="nil"/>
            </w:tcBorders>
            <w:vAlign w:val="top"/>
          </w:tcPr>
          <w:p>
            <w:pPr>
              <w:pStyle w:val="0"/>
              <w:rPr>
                <w:rFonts w:hint="default"/>
              </w:rPr>
            </w:pPr>
            <w:r>
              <w:rPr>
                <w:rFonts w:hint="eastAsia"/>
              </w:rPr>
              <w:t>全員に通知を発送した（</w:t>
            </w:r>
            <w:r>
              <w:rPr>
                <w:rFonts w:hint="eastAsia"/>
              </w:rPr>
              <w:t>100</w:t>
            </w:r>
            <w:r>
              <w:rPr>
                <w:rFonts w:hint="eastAsia"/>
              </w:rPr>
              <w:t>％）</w:t>
            </w:r>
          </w:p>
        </w:tc>
        <w:tc>
          <w:tcPr>
            <w:tcW w:w="123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r>
              <w:rPr>
                <w:rFonts w:hint="eastAsia"/>
              </w:rPr>
              <w:t>A</w:t>
            </w:r>
          </w:p>
        </w:tc>
        <w:tc>
          <w:tcPr>
            <w:tcW w:w="172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691" w:type="dxa"/>
            <w:tcBorders>
              <w:top w:val="none" w:color="auto" w:sz="0" w:space="0"/>
              <w:left w:val="single" w:color="auto" w:sz="4" w:space="0"/>
              <w:bottom w:val="none" w:color="auto" w:sz="0" w:space="0"/>
              <w:right w:val="single" w:color="auto" w:sz="4" w:space="0"/>
              <w:tl2br w:val="nil"/>
              <w:tr2bl w:val="nil"/>
            </w:tcBorders>
            <w:vAlign w:val="top"/>
          </w:tcPr>
          <w:p>
            <w:pPr>
              <w:pStyle w:val="0"/>
              <w:rPr>
                <w:rFonts w:hint="default"/>
              </w:rPr>
            </w:pPr>
            <w:r>
              <w:rPr>
                <w:rFonts w:hint="eastAsia"/>
              </w:rPr>
              <w:t>－</w:t>
            </w:r>
          </w:p>
        </w:tc>
        <w:tc>
          <w:tcPr>
            <w:tcW w:w="2609" w:type="dxa"/>
            <w:vMerge w:val="continue"/>
            <w:tcBorders>
              <w:top w:val="none" w:color="auto" w:sz="0" w:space="0"/>
              <w:left w:val="single" w:color="auto" w:sz="4" w:space="0"/>
              <w:bottom w:val="none" w:color="auto" w:sz="0" w:space="0"/>
              <w:right w:val="single" w:color="2E74B4" w:themeColor="accent1" w:themeShade="BF" w:sz="18" w:space="0"/>
              <w:tl2br w:val="nil"/>
              <w:tr2bl w:val="nil"/>
            </w:tcBorders>
            <w:vAlign w:val="top"/>
          </w:tcPr>
          <w:p>
            <w:pPr>
              <w:pStyle w:val="0"/>
              <w:rPr>
                <w:rFonts w:hint="default"/>
              </w:rPr>
            </w:pPr>
          </w:p>
        </w:tc>
      </w:tr>
      <w:tr>
        <w:trPr>
          <w:trHeight w:val="567"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restart"/>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アウトカム</w:t>
            </w:r>
          </w:p>
        </w:tc>
        <w:tc>
          <w:tcPr>
            <w:tcW w:w="4357"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HbA1c6.5</w:t>
            </w:r>
            <w:r>
              <w:rPr>
                <w:rFonts w:hint="eastAsia"/>
              </w:rPr>
              <w:t>以上で治療なしの人の割合</w:t>
            </w:r>
          </w:p>
        </w:tc>
        <w:tc>
          <w:tcPr>
            <w:tcW w:w="152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1.8</w:t>
            </w:r>
            <w:r>
              <w:rPr>
                <w:rFonts w:hint="eastAsia"/>
              </w:rPr>
              <w:t>％</w:t>
            </w:r>
          </w:p>
        </w:tc>
        <w:tc>
          <w:tcPr>
            <w:tcW w:w="2521" w:type="dxa"/>
            <w:tcBorders>
              <w:top w:val="single" w:color="auto" w:sz="4"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次年度健診結果</w:t>
            </w:r>
          </w:p>
        </w:tc>
        <w:tc>
          <w:tcPr>
            <w:tcW w:w="4799" w:type="dxa"/>
            <w:gridSpan w:val="2"/>
            <w:tcBorders>
              <w:top w:val="single" w:color="auto" w:sz="4" w:space="0"/>
              <w:left w:val="single" w:color="2E74B4" w:themeColor="accent1" w:themeShade="BF" w:sz="18" w:space="0"/>
              <w:bottom w:val="dashSmallGap" w:color="auto" w:sz="4" w:space="0"/>
              <w:right w:val="single" w:color="auto" w:sz="4" w:space="0"/>
              <w:tl2br w:val="nil"/>
              <w:tr2bl w:val="nil"/>
            </w:tcBorders>
            <w:vAlign w:val="top"/>
          </w:tcPr>
          <w:p>
            <w:pPr>
              <w:pStyle w:val="0"/>
              <w:rPr>
                <w:rFonts w:hint="default"/>
              </w:rPr>
            </w:pPr>
            <w:r>
              <w:rPr>
                <w:rFonts w:hint="eastAsia"/>
              </w:rPr>
              <w:t>－</w:t>
            </w:r>
          </w:p>
        </w:tc>
        <w:tc>
          <w:tcPr>
            <w:tcW w:w="1233"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rPr>
            </w:pPr>
          </w:p>
        </w:tc>
        <w:tc>
          <w:tcPr>
            <w:tcW w:w="1722"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rPr>
            </w:pPr>
          </w:p>
        </w:tc>
        <w:tc>
          <w:tcPr>
            <w:tcW w:w="1691" w:type="dxa"/>
            <w:vMerge w:val="restart"/>
            <w:tcBorders>
              <w:top w:val="none" w:color="auto" w:sz="0" w:space="0"/>
              <w:left w:val="single" w:color="auto" w:sz="4" w:space="0"/>
              <w:bottom w:val="none" w:color="auto" w:sz="0" w:space="0"/>
              <w:right w:val="single" w:color="auto" w:sz="4" w:space="0"/>
              <w:tl2br w:val="nil"/>
              <w:tr2bl w:val="nil"/>
            </w:tcBorders>
            <w:vAlign w:val="top"/>
          </w:tcPr>
          <w:p>
            <w:pPr>
              <w:pStyle w:val="0"/>
              <w:rPr>
                <w:rFonts w:hint="default"/>
              </w:rPr>
            </w:pPr>
            <w:r>
              <w:rPr>
                <w:rFonts w:hint="eastAsia"/>
              </w:rPr>
              <w:t>通知発送後、反応がない人に電話勧奨ができていない</w:t>
            </w:r>
          </w:p>
        </w:tc>
        <w:tc>
          <w:tcPr>
            <w:tcW w:w="2609" w:type="dxa"/>
            <w:vMerge w:val="continue"/>
            <w:tcBorders>
              <w:top w:val="none" w:color="auto" w:sz="0" w:space="0"/>
              <w:left w:val="single" w:color="auto" w:sz="4" w:space="0"/>
              <w:bottom w:val="none" w:color="auto" w:sz="0" w:space="0"/>
              <w:right w:val="single" w:color="2E74B4" w:themeColor="accent1" w:themeShade="BF" w:sz="18" w:space="0"/>
              <w:tl2br w:val="nil"/>
              <w:tr2bl w:val="nil"/>
            </w:tcBorders>
            <w:vAlign w:val="top"/>
          </w:tcPr>
          <w:p>
            <w:pPr>
              <w:pStyle w:val="0"/>
              <w:rPr>
                <w:rFonts w:hint="default"/>
              </w:rPr>
            </w:pPr>
          </w:p>
        </w:tc>
      </w:tr>
      <w:tr>
        <w:trPr>
          <w:trHeight w:val="567" w:hRule="atLeast"/>
        </w:trPr>
        <w:tc>
          <w:tcPr>
            <w:tcW w:w="482" w:type="dxa"/>
            <w:gridSpan w:val="2"/>
            <w:vMerge w:val="continue"/>
            <w:vAlign w:val="top"/>
          </w:tcPr>
          <w:p>
            <w:pPr>
              <w:pStyle w:val="0"/>
              <w:rPr>
                <w:rFonts w:hint="eastAsia"/>
              </w:rPr>
            </w:pPr>
          </w:p>
        </w:tc>
        <w:tc>
          <w:tcPr>
            <w:tcW w:w="144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357" w:type="dxa"/>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default"/>
              </w:rPr>
            </w:pPr>
            <w:r>
              <w:rPr>
                <w:rFonts w:hint="eastAsia"/>
              </w:rPr>
              <w:t>受診勧奨者のうち、医療機関を受診した人</w:t>
            </w:r>
          </w:p>
        </w:tc>
        <w:tc>
          <w:tcPr>
            <w:tcW w:w="1528" w:type="dxa"/>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r>
              <w:rPr>
                <w:rFonts w:hint="eastAsia"/>
                <w:color w:val="auto"/>
              </w:rPr>
              <w:t>60</w:t>
            </w:r>
            <w:r>
              <w:rPr>
                <w:rFonts w:hint="eastAsia"/>
                <w:color w:val="auto"/>
              </w:rPr>
              <w:t>％</w:t>
            </w:r>
          </w:p>
        </w:tc>
        <w:tc>
          <w:tcPr>
            <w:tcW w:w="2521" w:type="dxa"/>
            <w:tcBorders>
              <w:top w:val="dashSmallGap" w:color="auto" w:sz="4" w:space="0"/>
              <w:left w:val="single" w:color="auto" w:sz="4" w:space="0"/>
              <w:bottom w:val="single" w:color="auto" w:sz="4" w:space="0"/>
              <w:right w:val="single" w:color="2E74B4" w:themeColor="accent1" w:themeShade="BF" w:sz="18" w:space="0"/>
              <w:tl2br w:val="nil"/>
              <w:tr2bl w:val="nil"/>
            </w:tcBorders>
            <w:vAlign w:val="top"/>
          </w:tcPr>
          <w:p>
            <w:pPr>
              <w:pStyle w:val="0"/>
              <w:rPr>
                <w:rFonts w:hint="default"/>
              </w:rPr>
            </w:pPr>
            <w:r>
              <w:rPr>
                <w:rFonts w:hint="eastAsia"/>
              </w:rPr>
              <w:t>通知後のレセプトで確認</w:t>
            </w:r>
          </w:p>
        </w:tc>
        <w:tc>
          <w:tcPr>
            <w:tcW w:w="4799" w:type="dxa"/>
            <w:gridSpan w:val="2"/>
            <w:tcBorders>
              <w:top w:val="dashSmallGap" w:color="auto" w:sz="4" w:space="0"/>
              <w:left w:val="single" w:color="2E74B4" w:themeColor="accent1" w:themeShade="BF" w:sz="18" w:space="0"/>
              <w:bottom w:val="single" w:color="0070C0" w:sz="12" w:space="0"/>
              <w:right w:val="single" w:color="auto" w:sz="4" w:space="0"/>
              <w:tl2br w:val="nil"/>
              <w:tr2bl w:val="nil"/>
            </w:tcBorders>
            <w:vAlign w:val="top"/>
          </w:tcPr>
          <w:p>
            <w:pPr>
              <w:pStyle w:val="0"/>
              <w:rPr>
                <w:rFonts w:hint="default"/>
              </w:rPr>
            </w:pPr>
            <w:r>
              <w:rPr>
                <w:rFonts w:hint="eastAsia"/>
              </w:rPr>
              <w:t>6</w:t>
            </w:r>
            <w:r>
              <w:rPr>
                <w:rFonts w:hint="eastAsia"/>
              </w:rPr>
              <w:t>名が受診した（</w:t>
            </w:r>
            <w:r>
              <w:rPr>
                <w:rFonts w:hint="eastAsia"/>
              </w:rPr>
              <w:t>8</w:t>
            </w:r>
            <w:r>
              <w:rPr>
                <w:rFonts w:hint="eastAsia"/>
              </w:rPr>
              <w:t>％）</w:t>
            </w:r>
          </w:p>
        </w:tc>
        <w:tc>
          <w:tcPr>
            <w:tcW w:w="1233" w:type="dxa"/>
            <w:tcBorders>
              <w:top w:val="dashSmallGap" w:color="auto" w:sz="4" w:space="0"/>
              <w:left w:val="single" w:color="auto" w:sz="4" w:space="0"/>
              <w:bottom w:val="single" w:color="0070C0" w:sz="12" w:space="0"/>
              <w:right w:val="single" w:color="auto" w:sz="4" w:space="0"/>
              <w:tl2br w:val="nil"/>
              <w:tr2bl w:val="nil"/>
            </w:tcBorders>
            <w:vAlign w:val="top"/>
          </w:tcPr>
          <w:p>
            <w:pPr>
              <w:pStyle w:val="0"/>
              <w:rPr>
                <w:rFonts w:hint="default"/>
              </w:rPr>
            </w:pPr>
            <w:r>
              <w:rPr>
                <w:rFonts w:hint="eastAsia"/>
              </w:rPr>
              <w:t>C</w:t>
            </w:r>
          </w:p>
        </w:tc>
        <w:tc>
          <w:tcPr>
            <w:tcW w:w="1722" w:type="dxa"/>
            <w:tcBorders>
              <w:top w:val="dashSmallGap" w:color="auto" w:sz="4" w:space="0"/>
              <w:left w:val="single" w:color="auto" w:sz="4" w:space="0"/>
              <w:bottom w:val="single" w:color="0070C0" w:sz="12" w:space="0"/>
              <w:right w:val="single" w:color="auto" w:sz="4" w:space="0"/>
              <w:tl2br w:val="nil"/>
              <w:tr2bl w:val="nil"/>
            </w:tcBorders>
            <w:vAlign w:val="top"/>
          </w:tcPr>
          <w:p>
            <w:pPr>
              <w:pStyle w:val="0"/>
              <w:rPr>
                <w:rFonts w:hint="default"/>
              </w:rPr>
            </w:pPr>
          </w:p>
        </w:tc>
        <w:tc>
          <w:tcPr>
            <w:tcW w:w="1691" w:type="dxa"/>
            <w:vMerge w:val="continue"/>
            <w:tcBorders>
              <w:top w:val="none" w:color="auto" w:sz="0" w:space="0"/>
              <w:left w:val="single" w:color="auto" w:sz="4" w:space="0"/>
              <w:bottom w:val="single" w:color="0070C0" w:sz="12" w:space="0"/>
              <w:right w:val="single" w:color="auto" w:sz="4" w:space="0"/>
              <w:tl2br w:val="nil"/>
              <w:tr2bl w:val="nil"/>
            </w:tcBorders>
            <w:vAlign w:val="top"/>
          </w:tcPr>
          <w:p>
            <w:pPr>
              <w:pStyle w:val="0"/>
              <w:rPr>
                <w:rFonts w:hint="eastAsia"/>
              </w:rPr>
            </w:pPr>
          </w:p>
        </w:tc>
        <w:tc>
          <w:tcPr>
            <w:tcW w:w="2609" w:type="dxa"/>
            <w:vMerge w:val="continue"/>
            <w:tcBorders>
              <w:top w:val="none" w:color="auto" w:sz="0" w:space="0"/>
              <w:left w:val="single" w:color="auto" w:sz="4" w:space="0"/>
              <w:bottom w:val="single" w:color="0070C0" w:sz="12" w:space="0"/>
              <w:right w:val="single" w:color="2E74B4" w:themeColor="accent1" w:themeShade="BF" w:sz="18" w:space="0"/>
              <w:tl2br w:val="nil"/>
              <w:tr2bl w:val="nil"/>
            </w:tcBorders>
            <w:vAlign w:val="top"/>
          </w:tcPr>
          <w:p>
            <w:pPr>
              <w:pStyle w:val="0"/>
              <w:rPr>
                <w:rFonts w:hint="eastAsia"/>
              </w:rPr>
            </w:pPr>
          </w:p>
        </w:tc>
      </w:tr>
    </w:tbl>
    <w:p>
      <w:pPr>
        <w:pStyle w:val="0"/>
        <w:rPr>
          <w:rFonts w:hint="default"/>
          <w:sz w:val="20"/>
        </w:rPr>
      </w:pPr>
    </w:p>
    <w:sectPr>
      <w:pgSz w:w="23814" w:h="16839" w:orient="landscape"/>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Wingdings">
    <w:panose1 w:val="000008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407</TotalTime>
  <Pages>2</Pages>
  <Words>49</Words>
  <Characters>1831</Characters>
  <Application>JUST Note</Application>
  <Lines>185</Lines>
  <Paragraphs>94</Paragraphs>
  <CharactersWithSpaces>1870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河合</dc:creator>
  <cp:lastModifiedBy>橋本 賢治</cp:lastModifiedBy>
  <cp:lastPrinted>2022-03-28T07:43:49Z</cp:lastPrinted>
  <dcterms:created xsi:type="dcterms:W3CDTF">2021-04-01T06:43:00Z</dcterms:created>
  <dcterms:modified xsi:type="dcterms:W3CDTF">2022-02-07T05:10:13Z</dcterms:modified>
  <cp:revision>12</cp:revision>
</cp:coreProperties>
</file>