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left"/>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jc w:val="left"/>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885"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6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4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4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号</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長　久　手　市　長　　　佐　藤</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有</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美　　印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bookmarkStart w:id="0" w:name="_GoBack"/>
      <w:bookmarkEnd w:id="0"/>
      <w:r>
        <w:rPr>
          <w:rFonts w:hint="eastAsia" w:ascii="ＭＳ ゴシック" w:hAnsi="ＭＳ ゴシック" w:eastAsia="ＭＳ ゴシック"/>
          <w:color w:val="000000"/>
          <w:kern w:val="0"/>
        </w:rPr>
        <w:t>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3</Pages>
  <Words>2</Words>
  <Characters>1519</Characters>
  <Application>JUST Note</Application>
  <Lines>123</Lines>
  <Paragraphs>68</Paragraphs>
  <Company>METI</Company>
  <CharactersWithSpaces>2432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古根 一樹</cp:lastModifiedBy>
  <cp:lastPrinted>2024-11-28T23:44:04Z</cp:lastPrinted>
  <dcterms:created xsi:type="dcterms:W3CDTF">2024-09-30T11:54:00Z</dcterms:created>
  <dcterms:modified xsi:type="dcterms:W3CDTF">2024-11-27T00:13:36Z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